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b/>
          <w:color w:val="B07627"/>
          <w:sz w:val="22"/>
        </w:rPr>
        <w:t>RETAIL · VIETNAM</w:t>
      </w:r>
    </w:p>
    <w:p>
      <w:pPr>
        <w:pStyle w:val="Title"/>
        <w:jc w:val="center"/>
        <w:rPr/>
      </w:pPr>
      <w:r>
        <w:rPr/>
        <w:t>SFT CHỢ KIỂU MỚI</w:t>
      </w:r>
    </w:p>
    <w:p>
      <w:pPr>
        <w:pStyle w:val="Normal"/>
        <w:jc w:val="center"/>
        <w:rPr/>
      </w:pPr>
      <w:r>
        <w:rPr>
          <w:i/>
          <w:color w:val="505050"/>
          <w:sz w:val="28"/>
        </w:rPr>
        <w:t>Modernizing Vietnam’s Traditional Market Experience</w:t>
      </w:r>
    </w:p>
    <w:p>
      <w:pPr>
        <w:pStyle w:val="Normal"/>
        <w:rPr/>
      </w:pPr>
      <w:r>
        <w:rPr/>
      </w:r>
    </w:p>
    <w:tbl>
      <w:tblPr>
        <w:tblW w:w="1008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2520"/>
        <w:gridCol w:w="2520"/>
        <w:gridCol w:w="2520"/>
        <w:gridCol w:w="2520"/>
      </w:tblGrid>
      <w:tr>
        <w:trPr/>
        <w:tc>
          <w:tcPr>
            <w:tcW w:w="2520" w:type="dxa"/>
            <w:tcBorders/>
            <w:shd w:fill="19432F" w:val="clear"/>
          </w:tcPr>
          <w:p>
            <w:pPr>
              <w:pStyle w:val="Normal"/>
              <w:spacing w:before="0" w:after="100"/>
              <w:jc w:val="center"/>
              <w:rPr/>
            </w:pPr>
            <w:r>
              <w:rPr>
                <w:b/>
                <w:color w:val="DCC896"/>
                <w:sz w:val="16"/>
              </w:rPr>
              <w:t>YEAR 1</w:t>
              <w:br/>
            </w:r>
            <w:r>
              <w:rPr>
                <w:b/>
                <w:color w:val="FFFFFF"/>
                <w:sz w:val="24"/>
              </w:rPr>
              <w:t>10 STORES</w:t>
            </w:r>
          </w:p>
        </w:tc>
        <w:tc>
          <w:tcPr>
            <w:tcW w:w="2520" w:type="dxa"/>
            <w:tcBorders/>
            <w:shd w:fill="19432F" w:val="clear"/>
          </w:tcPr>
          <w:p>
            <w:pPr>
              <w:pStyle w:val="Normal"/>
              <w:spacing w:before="0" w:after="100"/>
              <w:jc w:val="center"/>
              <w:rPr/>
            </w:pPr>
            <w:r>
              <w:rPr>
                <w:b/>
                <w:color w:val="DCC896"/>
                <w:sz w:val="16"/>
              </w:rPr>
              <w:t>PHASE 1</w:t>
              <w:br/>
            </w:r>
            <w:r>
              <w:rPr>
                <w:b/>
                <w:color w:val="FFFFFF"/>
                <w:sz w:val="24"/>
              </w:rPr>
              <w:t>3 YEARS</w:t>
            </w:r>
          </w:p>
        </w:tc>
        <w:tc>
          <w:tcPr>
            <w:tcW w:w="2520" w:type="dxa"/>
            <w:tcBorders/>
            <w:shd w:fill="19432F" w:val="clear"/>
          </w:tcPr>
          <w:p>
            <w:pPr>
              <w:pStyle w:val="Normal"/>
              <w:spacing w:before="0" w:after="100"/>
              <w:jc w:val="center"/>
              <w:rPr/>
            </w:pPr>
            <w:r>
              <w:rPr>
                <w:b/>
                <w:color w:val="DCC896"/>
                <w:sz w:val="16"/>
              </w:rPr>
              <w:t>NETWORK</w:t>
              <w:br/>
            </w:r>
            <w:r>
              <w:rPr>
                <w:b/>
                <w:color w:val="FFFFFF"/>
                <w:sz w:val="24"/>
              </w:rPr>
              <w:t>50 STORES</w:t>
            </w:r>
          </w:p>
        </w:tc>
        <w:tc>
          <w:tcPr>
            <w:tcW w:w="2520" w:type="dxa"/>
            <w:tcBorders/>
            <w:shd w:fill="19432F" w:val="clear"/>
          </w:tcPr>
          <w:p>
            <w:pPr>
              <w:pStyle w:val="Normal"/>
              <w:spacing w:before="0" w:after="100"/>
              <w:jc w:val="center"/>
              <w:rPr/>
            </w:pPr>
            <w:r>
              <w:rPr>
                <w:b/>
                <w:color w:val="DCC896"/>
                <w:sz w:val="16"/>
              </w:rPr>
              <w:t>NET PROFIT</w:t>
              <w:br/>
            </w:r>
            <w:r>
              <w:rPr>
                <w:b/>
                <w:color w:val="FFFFFF"/>
                <w:sz w:val="24"/>
              </w:rPr>
              <w:t>18% TARGET</w:t>
            </w:r>
          </w:p>
        </w:tc>
      </w:tr>
    </w:tbl>
    <w:p>
      <w:pPr>
        <w:pStyle w:val="Normal"/>
        <w:rPr/>
      </w:pPr>
      <w:r>
        <w:rPr/>
      </w:r>
    </w:p>
    <w:p>
      <w:pPr>
        <w:pStyle w:val="Normal"/>
        <w:jc w:val="center"/>
        <w:rPr/>
      </w:pPr>
      <w:r>
        <w:rPr>
          <w:b/>
          <w:color w:val="19432F"/>
          <w:sz w:val="22"/>
        </w:rPr>
        <w:t>LOW CAPITAL  ·  FAST PAYBACK  ·  STRONG CASH FLOW  ·  SCALABLE NETWORK</w:t>
      </w:r>
    </w:p>
    <w:p>
      <w:pPr>
        <w:pStyle w:val="Normal"/>
        <w:rPr/>
      </w:pPr>
      <w:r>
        <w:rPr/>
      </w:r>
    </w:p>
    <w:p>
      <w:pPr>
        <w:pStyle w:val="Normal"/>
        <w:jc w:val="center"/>
        <w:rPr/>
      </w:pPr>
      <w:r>
        <w:rPr>
          <w:color w:val="6E6E6E"/>
          <w:sz w:val="18"/>
        </w:rPr>
        <w:t>CONFIDENTIAL INVESTMENT TEASER</w:t>
      </w:r>
    </w:p>
    <w:p>
      <w:pPr>
        <w:pStyle w:val="Normal"/>
        <w:rPr/>
      </w:pPr>
      <w:r>
        <w:rPr/>
      </w:r>
      <w:r>
        <w:br w:type="page"/>
      </w:r>
    </w:p>
    <w:p>
      <w:pPr>
        <w:pStyle w:val="Heading1"/>
        <w:spacing w:before="0" w:after="0"/>
        <w:rPr/>
      </w:pPr>
      <w:r>
        <w:rPr/>
        <w:t>1. INVESTMENT OVERVIEW</w:t>
      </w:r>
    </w:p>
    <w:p>
      <w:pPr>
        <w:pStyle w:val="Normal"/>
        <w:rPr/>
      </w:pPr>
      <w:r>
        <w:rPr/>
        <w:t>SFT Chợ Kiểu Mới is a new-generation neighborhood retail concept designed to combine the freshness, convenience and familiarity of Vietnam’s traditional markets with the cleanliness, transparency, technology and operating standards of modern retail.</w:t>
      </w:r>
    </w:p>
    <w:p>
      <w:pPr>
        <w:pStyle w:val="Normal"/>
        <w:rPr/>
      </w:pPr>
      <w:r>
        <w:rPr/>
        <w:t>The investment thesis is built around an asset-light store model, disciplined capital deployment, high sales productivity per square metre and multiple revenue streams. The first 10 stores are intended to validate unit economics before accelerating the network to 50 stores across major Vietnamese cities within the first three-year phase.</w:t>
      </w:r>
    </w:p>
    <w:p>
      <w:pPr>
        <w:pStyle w:val="Heading2"/>
        <w:rPr/>
      </w:pPr>
      <w:r>
        <w:rPr/>
        <w:t>Investment Highlights</w:t>
      </w:r>
    </w:p>
    <w:p>
      <w:pPr>
        <w:pStyle w:val="ListBullet"/>
        <w:numPr>
          <w:ilvl w:val="0"/>
          <w:numId w:val="1"/>
        </w:numPr>
        <w:spacing w:before="0" w:after="40"/>
        <w:contextualSpacing/>
        <w:rPr/>
      </w:pPr>
      <w:r>
        <w:rPr/>
        <w:t>10-store launch in Year 1, focused on proving and optimizing store-level economics.</w:t>
      </w:r>
    </w:p>
    <w:p>
      <w:pPr>
        <w:pStyle w:val="ListBullet"/>
        <w:numPr>
          <w:ilvl w:val="0"/>
          <w:numId w:val="1"/>
        </w:numPr>
        <w:spacing w:before="0" w:after="40"/>
        <w:contextualSpacing/>
        <w:rPr/>
      </w:pPr>
      <w:r>
        <w:rPr/>
        <w:t>50-store target by the end of Phase 1 (3 years) across major Vietnamese cities.</w:t>
      </w:r>
    </w:p>
    <w:p>
      <w:pPr>
        <w:pStyle w:val="ListBullet"/>
        <w:numPr>
          <w:ilvl w:val="0"/>
          <w:numId w:val="1"/>
        </w:numPr>
        <w:spacing w:before="0" w:after="40"/>
        <w:contextualSpacing/>
        <w:rPr/>
      </w:pPr>
      <w:r>
        <w:rPr/>
        <w:t>18% net profit margin as a management target, subject to validation through operating performance.</w:t>
      </w:r>
    </w:p>
    <w:p>
      <w:pPr>
        <w:pStyle w:val="ListBullet"/>
        <w:numPr>
          <w:ilvl w:val="0"/>
          <w:numId w:val="1"/>
        </w:numPr>
        <w:spacing w:before="0" w:after="40"/>
        <w:contextualSpacing/>
        <w:rPr/>
      </w:pPr>
      <w:r>
        <w:rPr/>
        <w:t>Asset-light expansion: leased locations, compact formats and limited non-revenue-generating CAPEX.</w:t>
      </w:r>
    </w:p>
    <w:p>
      <w:pPr>
        <w:pStyle w:val="ListBullet"/>
        <w:numPr>
          <w:ilvl w:val="0"/>
          <w:numId w:val="1"/>
        </w:numPr>
        <w:spacing w:before="0" w:after="40"/>
        <w:contextualSpacing/>
        <w:rPr/>
      </w:pPr>
      <w:r>
        <w:rPr/>
        <w:t>Target store payback of less than 24 months, with expansion gated by predefined return thresholds.</w:t>
      </w:r>
    </w:p>
    <w:p>
      <w:pPr>
        <w:pStyle w:val="ListBullet"/>
        <w:numPr>
          <w:ilvl w:val="0"/>
          <w:numId w:val="1"/>
        </w:numPr>
        <w:spacing w:before="0" w:after="40"/>
        <w:contextualSpacing/>
        <w:rPr/>
      </w:pPr>
      <w:r>
        <w:rPr/>
        <w:t>Scalable procurement, private label, vendor income, trade marketing and digital membership ecosystem.</w:t>
      </w:r>
    </w:p>
    <w:p>
      <w:pPr>
        <w:pStyle w:val="Heading1"/>
        <w:rPr/>
      </w:pPr>
      <w:r>
        <w:rPr/>
        <w:t>2. THE CONCEPT — THE TRADITIONAL MARKET, REIMAGINED</w:t>
      </w:r>
    </w:p>
    <w:p>
      <w:pPr>
        <w:pStyle w:val="Normal"/>
        <w:rPr/>
      </w:pPr>
      <w:r>
        <w:rPr/>
        <w:t>SFT retains the advantages consumers associate with the traditional Vietnamese market — fresh products, convenient neighborhood access, competitive pricing and frequent daily shopping — while improving the overall retail experience.</w:t>
      </w:r>
    </w:p>
    <w:tbl>
      <w:tblPr>
        <w:tblW w:w="810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3600"/>
        <w:gridCol w:w="4500"/>
      </w:tblGrid>
      <w:tr>
        <w:trPr/>
        <w:tc>
          <w:tcPr>
            <w:tcW w:w="3600" w:type="dxa"/>
            <w:tcBorders/>
            <w:shd w:fill="19432F" w:val="clear"/>
            <w:vAlign w:val="center"/>
          </w:tcPr>
          <w:p>
            <w:pPr>
              <w:pStyle w:val="Normal"/>
              <w:widowControl/>
              <w:bidi w:val="0"/>
              <w:spacing w:lineRule="auto" w:line="276" w:before="0" w:after="100"/>
              <w:jc w:val="start"/>
              <w:rPr/>
            </w:pPr>
            <w:r>
              <w:rPr>
                <w:b/>
                <w:color w:val="FFFFFF"/>
                <w:sz w:val="18"/>
              </w:rPr>
              <w:t>TRADITIONAL MARKET STRENGTH</w:t>
            </w:r>
          </w:p>
        </w:tc>
        <w:tc>
          <w:tcPr>
            <w:tcW w:w="4500" w:type="dxa"/>
            <w:tcBorders/>
            <w:shd w:fill="19432F" w:val="clear"/>
            <w:vAlign w:val="center"/>
          </w:tcPr>
          <w:p>
            <w:pPr>
              <w:pStyle w:val="Normal"/>
              <w:widowControl/>
              <w:bidi w:val="0"/>
              <w:spacing w:lineRule="auto" w:line="276" w:before="0" w:after="100"/>
              <w:jc w:val="start"/>
              <w:rPr/>
            </w:pPr>
            <w:r>
              <w:rPr>
                <w:b/>
                <w:color w:val="FFFFFF"/>
                <w:sz w:val="18"/>
              </w:rPr>
              <w:t>SFT MODERNIZATION LAYER</w:t>
            </w:r>
          </w:p>
        </w:tc>
      </w:tr>
      <w:tr>
        <w:trPr/>
        <w:tc>
          <w:tcPr>
            <w:tcW w:w="3600" w:type="dxa"/>
            <w:tcBorders/>
            <w:vAlign w:val="center"/>
          </w:tcPr>
          <w:p>
            <w:pPr>
              <w:pStyle w:val="Normal"/>
              <w:widowControl/>
              <w:bidi w:val="0"/>
              <w:spacing w:lineRule="auto" w:line="276" w:before="0" w:after="100"/>
              <w:jc w:val="start"/>
              <w:rPr/>
            </w:pPr>
            <w:r>
              <w:rPr>
                <w:b w:val="false"/>
                <w:sz w:val="18"/>
              </w:rPr>
              <w:t>Freshness &amp; daily relevance</w:t>
            </w:r>
          </w:p>
        </w:tc>
        <w:tc>
          <w:tcPr>
            <w:tcW w:w="4500" w:type="dxa"/>
            <w:tcBorders/>
            <w:vAlign w:val="center"/>
          </w:tcPr>
          <w:p>
            <w:pPr>
              <w:pStyle w:val="Normal"/>
              <w:widowControl/>
              <w:bidi w:val="0"/>
              <w:spacing w:lineRule="auto" w:line="276" w:before="0" w:after="100"/>
              <w:jc w:val="start"/>
              <w:rPr/>
            </w:pPr>
            <w:r>
              <w:rPr>
                <w:b w:val="false"/>
                <w:sz w:val="18"/>
              </w:rPr>
              <w:t>Clean, standardized environment</w:t>
            </w:r>
          </w:p>
        </w:tc>
      </w:tr>
      <w:tr>
        <w:trPr/>
        <w:tc>
          <w:tcPr>
            <w:tcW w:w="3600" w:type="dxa"/>
            <w:tcBorders/>
            <w:vAlign w:val="center"/>
          </w:tcPr>
          <w:p>
            <w:pPr>
              <w:pStyle w:val="Normal"/>
              <w:widowControl/>
              <w:bidi w:val="0"/>
              <w:spacing w:lineRule="auto" w:line="276" w:before="0" w:after="100"/>
              <w:jc w:val="start"/>
              <w:rPr/>
            </w:pPr>
            <w:r>
              <w:rPr>
                <w:b w:val="false"/>
                <w:sz w:val="18"/>
              </w:rPr>
              <w:t>Neighborhood convenience</w:t>
            </w:r>
          </w:p>
        </w:tc>
        <w:tc>
          <w:tcPr>
            <w:tcW w:w="4500" w:type="dxa"/>
            <w:tcBorders/>
            <w:vAlign w:val="center"/>
          </w:tcPr>
          <w:p>
            <w:pPr>
              <w:pStyle w:val="Normal"/>
              <w:widowControl/>
              <w:bidi w:val="0"/>
              <w:spacing w:lineRule="auto" w:line="276" w:before="0" w:after="100"/>
              <w:jc w:val="start"/>
              <w:rPr/>
            </w:pPr>
            <w:r>
              <w:rPr>
                <w:b w:val="false"/>
                <w:sz w:val="18"/>
              </w:rPr>
              <w:t>Transparent pricing &amp; professional merchandising</w:t>
            </w:r>
          </w:p>
        </w:tc>
      </w:tr>
      <w:tr>
        <w:trPr/>
        <w:tc>
          <w:tcPr>
            <w:tcW w:w="3600" w:type="dxa"/>
            <w:tcBorders/>
            <w:vAlign w:val="center"/>
          </w:tcPr>
          <w:p>
            <w:pPr>
              <w:pStyle w:val="Normal"/>
              <w:widowControl/>
              <w:bidi w:val="0"/>
              <w:spacing w:lineRule="auto" w:line="276" w:before="0" w:after="100"/>
              <w:jc w:val="start"/>
              <w:rPr/>
            </w:pPr>
            <w:r>
              <w:rPr>
                <w:b w:val="false"/>
                <w:sz w:val="18"/>
              </w:rPr>
              <w:t>Competitive pricing</w:t>
            </w:r>
          </w:p>
        </w:tc>
        <w:tc>
          <w:tcPr>
            <w:tcW w:w="4500" w:type="dxa"/>
            <w:tcBorders/>
            <w:vAlign w:val="center"/>
          </w:tcPr>
          <w:p>
            <w:pPr>
              <w:pStyle w:val="Normal"/>
              <w:widowControl/>
              <w:bidi w:val="0"/>
              <w:spacing w:lineRule="auto" w:line="276" w:before="0" w:after="100"/>
              <w:jc w:val="start"/>
              <w:rPr/>
            </w:pPr>
            <w:r>
              <w:rPr>
                <w:b w:val="false"/>
                <w:sz w:val="18"/>
              </w:rPr>
              <w:t>Food-safety and supplier standards</w:t>
            </w:r>
          </w:p>
        </w:tc>
      </w:tr>
      <w:tr>
        <w:trPr/>
        <w:tc>
          <w:tcPr>
            <w:tcW w:w="3600" w:type="dxa"/>
            <w:tcBorders/>
            <w:vAlign w:val="center"/>
          </w:tcPr>
          <w:p>
            <w:pPr>
              <w:pStyle w:val="Normal"/>
              <w:widowControl/>
              <w:bidi w:val="0"/>
              <w:spacing w:lineRule="auto" w:line="276" w:before="0" w:after="100"/>
              <w:jc w:val="start"/>
              <w:rPr/>
            </w:pPr>
            <w:r>
              <w:rPr>
                <w:b w:val="false"/>
                <w:sz w:val="18"/>
              </w:rPr>
              <w:t>Local vendor diversity</w:t>
            </w:r>
          </w:p>
        </w:tc>
        <w:tc>
          <w:tcPr>
            <w:tcW w:w="4500" w:type="dxa"/>
            <w:tcBorders/>
            <w:vAlign w:val="center"/>
          </w:tcPr>
          <w:p>
            <w:pPr>
              <w:pStyle w:val="Normal"/>
              <w:widowControl/>
              <w:bidi w:val="0"/>
              <w:spacing w:lineRule="auto" w:line="276" w:before="0" w:after="100"/>
              <w:jc w:val="start"/>
              <w:rPr/>
            </w:pPr>
            <w:r>
              <w:rPr>
                <w:b w:val="false"/>
                <w:sz w:val="18"/>
              </w:rPr>
              <w:t>Selected vendor ecosystem</w:t>
            </w:r>
          </w:p>
        </w:tc>
      </w:tr>
      <w:tr>
        <w:trPr/>
        <w:tc>
          <w:tcPr>
            <w:tcW w:w="3600" w:type="dxa"/>
            <w:tcBorders/>
            <w:vAlign w:val="center"/>
          </w:tcPr>
          <w:p>
            <w:pPr>
              <w:pStyle w:val="Normal"/>
              <w:widowControl/>
              <w:bidi w:val="0"/>
              <w:spacing w:lineRule="auto" w:line="276" w:before="0" w:after="100"/>
              <w:jc w:val="start"/>
              <w:rPr/>
            </w:pPr>
            <w:r>
              <w:rPr>
                <w:b w:val="false"/>
                <w:sz w:val="18"/>
              </w:rPr>
              <w:t>High shopping frequency</w:t>
            </w:r>
          </w:p>
        </w:tc>
        <w:tc>
          <w:tcPr>
            <w:tcW w:w="4500" w:type="dxa"/>
            <w:tcBorders/>
            <w:vAlign w:val="center"/>
          </w:tcPr>
          <w:p>
            <w:pPr>
              <w:pStyle w:val="Normal"/>
              <w:widowControl/>
              <w:bidi w:val="0"/>
              <w:spacing w:lineRule="auto" w:line="276" w:before="0" w:after="100"/>
              <w:jc w:val="start"/>
              <w:rPr/>
            </w:pPr>
            <w:r>
              <w:rPr>
                <w:b w:val="false"/>
                <w:sz w:val="18"/>
              </w:rPr>
              <w:t>Digital payment, loyalty and customer data</w:t>
            </w:r>
          </w:p>
        </w:tc>
      </w:tr>
    </w:tbl>
    <w:p>
      <w:pPr>
        <w:pStyle w:val="Heading1"/>
        <w:rPr/>
      </w:pPr>
      <w:r>
        <w:rPr/>
        <w:t>3. ASSET-LIGHT INVESTMENT MODEL</w:t>
      </w:r>
    </w:p>
    <w:p>
      <w:pPr>
        <w:pStyle w:val="Normal"/>
        <w:rPr/>
      </w:pPr>
      <w:r>
        <w:rPr/>
        <w:t>SFT will prioritize leasing rather than owning real estate. Capital is concentrated on assets that directly support sales and customer experience: essential fit-out, refrigeration, POS and technology, selected equipment, initial inventory and brand development.</w:t>
      </w:r>
    </w:p>
    <w:p>
      <w:pPr>
        <w:pStyle w:val="ListBullet"/>
        <w:numPr>
          <w:ilvl w:val="0"/>
          <w:numId w:val="1"/>
        </w:numPr>
        <w:spacing w:before="0" w:after="40"/>
        <w:contextualSpacing/>
        <w:rPr/>
      </w:pPr>
      <w:r>
        <w:rPr/>
        <w:t>Negotiate landlord contributions to fit-out where commercially available.</w:t>
      </w:r>
    </w:p>
    <w:p>
      <w:pPr>
        <w:pStyle w:val="ListBullet"/>
        <w:numPr>
          <w:ilvl w:val="0"/>
          <w:numId w:val="1"/>
        </w:numPr>
        <w:spacing w:before="0" w:after="40"/>
        <w:contextualSpacing/>
        <w:rPr/>
      </w:pPr>
      <w:r>
        <w:rPr/>
        <w:t>Use supplier-funded displays and equipment where appropriate.</w:t>
      </w:r>
    </w:p>
    <w:p>
      <w:pPr>
        <w:pStyle w:val="ListBullet"/>
        <w:numPr>
          <w:ilvl w:val="0"/>
          <w:numId w:val="1"/>
        </w:numPr>
        <w:spacing w:before="0" w:after="40"/>
        <w:contextualSpacing/>
        <w:rPr/>
      </w:pPr>
      <w:r>
        <w:rPr/>
        <w:t>Seek consignment or short-credit inventory structures to reduce working-capital intensity.</w:t>
      </w:r>
    </w:p>
    <w:p>
      <w:pPr>
        <w:pStyle w:val="ListBullet"/>
        <w:numPr>
          <w:ilvl w:val="0"/>
          <w:numId w:val="1"/>
        </w:numPr>
        <w:spacing w:before="0" w:after="40"/>
        <w:contextualSpacing/>
        <w:rPr/>
      </w:pPr>
      <w:r>
        <w:rPr/>
        <w:t>Evaluate revenue-sharing structures where they are more efficient than high fixed rents.</w:t>
      </w:r>
    </w:p>
    <w:p>
      <w:pPr>
        <w:pStyle w:val="ListBullet"/>
        <w:numPr>
          <w:ilvl w:val="0"/>
          <w:numId w:val="1"/>
        </w:numPr>
        <w:spacing w:before="0" w:after="40"/>
        <w:contextualSpacing/>
        <w:rPr/>
      </w:pPr>
      <w:r>
        <w:rPr/>
        <w:t>Avoid heavy centralized warehousing in the early phase unless store density economically justifies it.</w:t>
      </w:r>
    </w:p>
    <w:p>
      <w:pPr>
        <w:pStyle w:val="Heading1"/>
        <w:rPr/>
      </w:pPr>
      <w:r>
        <w:rPr/>
        <w:t>4. TARGET UNIT ECONOMICS</w:t>
      </w:r>
    </w:p>
    <w:tbl>
      <w:tblPr>
        <w:tblW w:w="540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2520"/>
        <w:gridCol w:w="2880"/>
      </w:tblGrid>
      <w:tr>
        <w:trPr/>
        <w:tc>
          <w:tcPr>
            <w:tcW w:w="2520" w:type="dxa"/>
            <w:tcBorders/>
            <w:shd w:fill="19432F" w:val="clear"/>
            <w:vAlign w:val="center"/>
          </w:tcPr>
          <w:p>
            <w:pPr>
              <w:pStyle w:val="Normal"/>
              <w:widowControl/>
              <w:bidi w:val="0"/>
              <w:spacing w:lineRule="auto" w:line="276" w:before="0" w:after="100"/>
              <w:jc w:val="start"/>
              <w:rPr/>
            </w:pPr>
            <w:r>
              <w:rPr>
                <w:b/>
                <w:color w:val="FFFFFF"/>
                <w:sz w:val="18"/>
              </w:rPr>
              <w:t>KPI</w:t>
            </w:r>
          </w:p>
        </w:tc>
        <w:tc>
          <w:tcPr>
            <w:tcW w:w="2880" w:type="dxa"/>
            <w:tcBorders/>
            <w:shd w:fill="19432F" w:val="clear"/>
            <w:vAlign w:val="center"/>
          </w:tcPr>
          <w:p>
            <w:pPr>
              <w:pStyle w:val="Normal"/>
              <w:widowControl/>
              <w:bidi w:val="0"/>
              <w:spacing w:lineRule="auto" w:line="276" w:before="0" w:after="100"/>
              <w:jc w:val="start"/>
              <w:rPr/>
            </w:pPr>
            <w:r>
              <w:rPr>
                <w:b/>
                <w:color w:val="FFFFFF"/>
                <w:sz w:val="18"/>
              </w:rPr>
              <w:t>TARGET</w:t>
            </w:r>
          </w:p>
        </w:tc>
      </w:tr>
      <w:tr>
        <w:trPr/>
        <w:tc>
          <w:tcPr>
            <w:tcW w:w="2520" w:type="dxa"/>
            <w:tcBorders/>
            <w:vAlign w:val="center"/>
          </w:tcPr>
          <w:p>
            <w:pPr>
              <w:pStyle w:val="Normal"/>
              <w:widowControl/>
              <w:bidi w:val="0"/>
              <w:spacing w:lineRule="auto" w:line="276" w:before="0" w:after="100"/>
              <w:jc w:val="start"/>
              <w:rPr/>
            </w:pPr>
            <w:r>
              <w:rPr>
                <w:b/>
                <w:sz w:val="18"/>
              </w:rPr>
              <w:t>Stores — Year 1</w:t>
            </w:r>
          </w:p>
        </w:tc>
        <w:tc>
          <w:tcPr>
            <w:tcW w:w="2880" w:type="dxa"/>
            <w:tcBorders/>
            <w:vAlign w:val="center"/>
          </w:tcPr>
          <w:p>
            <w:pPr>
              <w:pStyle w:val="Normal"/>
              <w:widowControl/>
              <w:bidi w:val="0"/>
              <w:spacing w:lineRule="auto" w:line="276" w:before="0" w:after="100"/>
              <w:jc w:val="start"/>
              <w:rPr/>
            </w:pPr>
            <w:r>
              <w:rPr>
                <w:b/>
                <w:color w:val="B07627"/>
                <w:sz w:val="18"/>
              </w:rPr>
              <w:t>10</w:t>
            </w:r>
          </w:p>
        </w:tc>
      </w:tr>
      <w:tr>
        <w:trPr/>
        <w:tc>
          <w:tcPr>
            <w:tcW w:w="2520" w:type="dxa"/>
            <w:tcBorders/>
            <w:vAlign w:val="center"/>
          </w:tcPr>
          <w:p>
            <w:pPr>
              <w:pStyle w:val="Normal"/>
              <w:widowControl/>
              <w:bidi w:val="0"/>
              <w:spacing w:lineRule="auto" w:line="276" w:before="0" w:after="100"/>
              <w:jc w:val="start"/>
              <w:rPr/>
            </w:pPr>
            <w:r>
              <w:rPr>
                <w:b/>
                <w:sz w:val="18"/>
              </w:rPr>
              <w:t>Net Profit Margin</w:t>
            </w:r>
          </w:p>
        </w:tc>
        <w:tc>
          <w:tcPr>
            <w:tcW w:w="2880" w:type="dxa"/>
            <w:tcBorders/>
            <w:vAlign w:val="center"/>
          </w:tcPr>
          <w:p>
            <w:pPr>
              <w:pStyle w:val="Normal"/>
              <w:widowControl/>
              <w:bidi w:val="0"/>
              <w:spacing w:lineRule="auto" w:line="276" w:before="0" w:after="100"/>
              <w:jc w:val="start"/>
              <w:rPr/>
            </w:pPr>
            <w:r>
              <w:rPr>
                <w:b/>
                <w:color w:val="B07627"/>
                <w:sz w:val="18"/>
              </w:rPr>
              <w:t>18% target</w:t>
            </w:r>
          </w:p>
        </w:tc>
      </w:tr>
      <w:tr>
        <w:trPr/>
        <w:tc>
          <w:tcPr>
            <w:tcW w:w="2520" w:type="dxa"/>
            <w:tcBorders/>
            <w:vAlign w:val="center"/>
          </w:tcPr>
          <w:p>
            <w:pPr>
              <w:pStyle w:val="Normal"/>
              <w:widowControl/>
              <w:bidi w:val="0"/>
              <w:spacing w:lineRule="auto" w:line="276" w:before="0" w:after="100"/>
              <w:jc w:val="start"/>
              <w:rPr/>
            </w:pPr>
            <w:r>
              <w:rPr>
                <w:b/>
                <w:sz w:val="18"/>
              </w:rPr>
              <w:t>Investment Model</w:t>
            </w:r>
          </w:p>
        </w:tc>
        <w:tc>
          <w:tcPr>
            <w:tcW w:w="2880" w:type="dxa"/>
            <w:tcBorders/>
            <w:vAlign w:val="center"/>
          </w:tcPr>
          <w:p>
            <w:pPr>
              <w:pStyle w:val="Normal"/>
              <w:widowControl/>
              <w:bidi w:val="0"/>
              <w:spacing w:lineRule="auto" w:line="276" w:before="0" w:after="100"/>
              <w:jc w:val="start"/>
              <w:rPr/>
            </w:pPr>
            <w:r>
              <w:rPr>
                <w:b/>
                <w:color w:val="B07627"/>
                <w:sz w:val="18"/>
              </w:rPr>
              <w:t>Asset-Light</w:t>
            </w:r>
          </w:p>
        </w:tc>
      </w:tr>
      <w:tr>
        <w:trPr/>
        <w:tc>
          <w:tcPr>
            <w:tcW w:w="2520" w:type="dxa"/>
            <w:tcBorders/>
            <w:vAlign w:val="center"/>
          </w:tcPr>
          <w:p>
            <w:pPr>
              <w:pStyle w:val="Normal"/>
              <w:widowControl/>
              <w:bidi w:val="0"/>
              <w:spacing w:lineRule="auto" w:line="276" w:before="0" w:after="100"/>
              <w:jc w:val="start"/>
              <w:rPr/>
            </w:pPr>
            <w:r>
              <w:rPr>
                <w:b/>
                <w:sz w:val="18"/>
              </w:rPr>
              <w:t>Store Format</w:t>
            </w:r>
          </w:p>
        </w:tc>
        <w:tc>
          <w:tcPr>
            <w:tcW w:w="2880" w:type="dxa"/>
            <w:tcBorders/>
            <w:vAlign w:val="center"/>
          </w:tcPr>
          <w:p>
            <w:pPr>
              <w:pStyle w:val="Normal"/>
              <w:widowControl/>
              <w:bidi w:val="0"/>
              <w:spacing w:lineRule="auto" w:line="276" w:before="0" w:after="100"/>
              <w:jc w:val="start"/>
              <w:rPr/>
            </w:pPr>
            <w:r>
              <w:rPr>
                <w:b/>
                <w:color w:val="B07627"/>
                <w:sz w:val="18"/>
              </w:rPr>
              <w:t>Compact / Neighborhood</w:t>
            </w:r>
          </w:p>
        </w:tc>
      </w:tr>
      <w:tr>
        <w:trPr/>
        <w:tc>
          <w:tcPr>
            <w:tcW w:w="2520" w:type="dxa"/>
            <w:tcBorders/>
            <w:vAlign w:val="center"/>
          </w:tcPr>
          <w:p>
            <w:pPr>
              <w:pStyle w:val="Normal"/>
              <w:widowControl/>
              <w:bidi w:val="0"/>
              <w:spacing w:lineRule="auto" w:line="276" w:before="0" w:after="100"/>
              <w:jc w:val="start"/>
              <w:rPr/>
            </w:pPr>
            <w:r>
              <w:rPr>
                <w:b/>
                <w:sz w:val="18"/>
              </w:rPr>
              <w:t>CAPEX</w:t>
            </w:r>
          </w:p>
        </w:tc>
        <w:tc>
          <w:tcPr>
            <w:tcW w:w="2880" w:type="dxa"/>
            <w:tcBorders/>
            <w:vAlign w:val="center"/>
          </w:tcPr>
          <w:p>
            <w:pPr>
              <w:pStyle w:val="Normal"/>
              <w:widowControl/>
              <w:bidi w:val="0"/>
              <w:spacing w:lineRule="auto" w:line="276" w:before="0" w:after="100"/>
              <w:jc w:val="start"/>
              <w:rPr/>
            </w:pPr>
            <w:r>
              <w:rPr>
                <w:b/>
                <w:color w:val="B07627"/>
                <w:sz w:val="18"/>
              </w:rPr>
              <w:t>Minimized &amp; standardized</w:t>
            </w:r>
          </w:p>
        </w:tc>
      </w:tr>
      <w:tr>
        <w:trPr/>
        <w:tc>
          <w:tcPr>
            <w:tcW w:w="2520" w:type="dxa"/>
            <w:tcBorders/>
            <w:vAlign w:val="center"/>
          </w:tcPr>
          <w:p>
            <w:pPr>
              <w:pStyle w:val="Normal"/>
              <w:widowControl/>
              <w:bidi w:val="0"/>
              <w:spacing w:lineRule="auto" w:line="276" w:before="0" w:after="100"/>
              <w:jc w:val="start"/>
              <w:rPr/>
            </w:pPr>
            <w:r>
              <w:rPr>
                <w:b/>
                <w:sz w:val="18"/>
              </w:rPr>
              <w:t>Inventory Cycle</w:t>
            </w:r>
          </w:p>
        </w:tc>
        <w:tc>
          <w:tcPr>
            <w:tcW w:w="2880" w:type="dxa"/>
            <w:tcBorders/>
            <w:vAlign w:val="center"/>
          </w:tcPr>
          <w:p>
            <w:pPr>
              <w:pStyle w:val="Normal"/>
              <w:widowControl/>
              <w:bidi w:val="0"/>
              <w:spacing w:lineRule="auto" w:line="276" w:before="0" w:after="100"/>
              <w:jc w:val="start"/>
              <w:rPr/>
            </w:pPr>
            <w:r>
              <w:rPr>
                <w:b/>
                <w:color w:val="B07627"/>
                <w:sz w:val="18"/>
              </w:rPr>
              <w:t>Fast</w:t>
            </w:r>
          </w:p>
        </w:tc>
      </w:tr>
      <w:tr>
        <w:trPr/>
        <w:tc>
          <w:tcPr>
            <w:tcW w:w="2520" w:type="dxa"/>
            <w:tcBorders/>
            <w:vAlign w:val="center"/>
          </w:tcPr>
          <w:p>
            <w:pPr>
              <w:pStyle w:val="Normal"/>
              <w:widowControl/>
              <w:bidi w:val="0"/>
              <w:spacing w:lineRule="auto" w:line="276" w:before="0" w:after="100"/>
              <w:jc w:val="start"/>
              <w:rPr/>
            </w:pPr>
            <w:r>
              <w:rPr>
                <w:b/>
                <w:sz w:val="18"/>
              </w:rPr>
              <w:t>Cash Conversion</w:t>
            </w:r>
          </w:p>
        </w:tc>
        <w:tc>
          <w:tcPr>
            <w:tcW w:w="2880" w:type="dxa"/>
            <w:tcBorders/>
            <w:vAlign w:val="center"/>
          </w:tcPr>
          <w:p>
            <w:pPr>
              <w:pStyle w:val="Normal"/>
              <w:widowControl/>
              <w:bidi w:val="0"/>
              <w:spacing w:lineRule="auto" w:line="276" w:before="0" w:after="100"/>
              <w:jc w:val="start"/>
              <w:rPr/>
            </w:pPr>
            <w:r>
              <w:rPr>
                <w:b/>
                <w:color w:val="B07627"/>
                <w:sz w:val="18"/>
              </w:rPr>
              <w:t>High</w:t>
            </w:r>
          </w:p>
        </w:tc>
      </w:tr>
      <w:tr>
        <w:trPr/>
        <w:tc>
          <w:tcPr>
            <w:tcW w:w="2520" w:type="dxa"/>
            <w:tcBorders/>
            <w:vAlign w:val="center"/>
          </w:tcPr>
          <w:p>
            <w:pPr>
              <w:pStyle w:val="Normal"/>
              <w:widowControl/>
              <w:bidi w:val="0"/>
              <w:spacing w:lineRule="auto" w:line="276" w:before="0" w:after="100"/>
              <w:jc w:val="start"/>
              <w:rPr/>
            </w:pPr>
            <w:r>
              <w:rPr>
                <w:b/>
                <w:sz w:val="18"/>
              </w:rPr>
              <w:t>Target Payback</w:t>
            </w:r>
          </w:p>
        </w:tc>
        <w:tc>
          <w:tcPr>
            <w:tcW w:w="2880" w:type="dxa"/>
            <w:tcBorders/>
            <w:vAlign w:val="center"/>
          </w:tcPr>
          <w:p>
            <w:pPr>
              <w:pStyle w:val="Normal"/>
              <w:widowControl/>
              <w:bidi w:val="0"/>
              <w:spacing w:lineRule="auto" w:line="276" w:before="0" w:after="100"/>
              <w:jc w:val="start"/>
              <w:rPr/>
            </w:pPr>
            <w:r>
              <w:rPr>
                <w:b/>
                <w:color w:val="B07627"/>
                <w:sz w:val="18"/>
              </w:rPr>
              <w:t>&lt; 24 months</w:t>
            </w:r>
          </w:p>
        </w:tc>
      </w:tr>
    </w:tbl>
    <w:p>
      <w:pPr>
        <w:pStyle w:val="Normal"/>
        <w:rPr/>
      </w:pPr>
      <w:r>
        <w:rPr/>
      </w:r>
    </w:p>
    <w:p>
      <w:pPr>
        <w:pStyle w:val="Normal"/>
        <w:rPr/>
      </w:pPr>
      <w:r>
        <w:rPr/>
        <w:t>Note: The 18% net profit margin and sub-24-month payback are targets, not guaranteed outcomes. They should be validated through a detailed financial model and actual performance of the initial stores.</w:t>
      </w:r>
    </w:p>
    <w:p>
      <w:pPr>
        <w:pStyle w:val="Heading1"/>
        <w:rPr/>
      </w:pPr>
      <w:r>
        <w:rPr/>
        <w:t>5. HOW SFT TARGETS 18% NET PROFIT</w:t>
      </w:r>
    </w:p>
    <w:p>
      <w:pPr>
        <w:pStyle w:val="Normal"/>
        <w:rPr/>
      </w:pPr>
      <w:r>
        <w:rPr/>
        <w:t>The margin strategy is based on building a multi-revenue retail platform rather than relying solely on product mark-up.</w:t>
      </w:r>
    </w:p>
    <w:p>
      <w:pPr>
        <w:pStyle w:val="Normal"/>
        <w:rPr/>
      </w:pPr>
      <w:r>
        <w:rPr>
          <w:b/>
          <w:color w:val="19432F"/>
        </w:rPr>
        <w:t>1. Retail Margin</w:t>
      </w:r>
      <w:r>
        <w:rPr/>
        <w:t xml:space="preserve"> — Centralized sourcing from farms, producers, FMCG companies and distributors can improve purchasing leverage as network volume increases.</w:t>
      </w:r>
    </w:p>
    <w:p>
      <w:pPr>
        <w:pStyle w:val="Normal"/>
        <w:rPr/>
      </w:pPr>
      <w:r>
        <w:rPr>
          <w:b/>
          <w:color w:val="19432F"/>
        </w:rPr>
        <w:t>2. Vendor / Stall Revenue</w:t>
      </w:r>
      <w:r>
        <w:rPr/>
        <w:t xml:space="preserve"> — Selected fresh-food and specialty vendors may operate under rental, revenue-share or service-fee structures, monetizing floor space while limiting inventory risk.</w:t>
      </w:r>
    </w:p>
    <w:p>
      <w:pPr>
        <w:pStyle w:val="Normal"/>
        <w:rPr/>
      </w:pPr>
      <w:r>
        <w:rPr>
          <w:b/>
          <w:color w:val="19432F"/>
        </w:rPr>
        <w:t>3. Private Label</w:t>
      </w:r>
      <w:r>
        <w:rPr/>
        <w:t xml:space="preserve"> — SFT-branded products can progressively improve gross margin as store density and procurement volume grow.</w:t>
      </w:r>
    </w:p>
    <w:p>
      <w:pPr>
        <w:pStyle w:val="Normal"/>
        <w:rPr/>
      </w:pPr>
      <w:r>
        <w:rPr>
          <w:b/>
          <w:color w:val="19432F"/>
        </w:rPr>
        <w:t>4. Supplier &amp; Trade Marketing Income</w:t>
      </w:r>
      <w:r>
        <w:rPr/>
        <w:t xml:space="preserve"> — Shelf positioning, launches, in-store promotion and supplier marketing programs can add B2B revenue.</w:t>
      </w:r>
    </w:p>
    <w:p>
      <w:pPr>
        <w:pStyle w:val="Normal"/>
        <w:rPr/>
      </w:pPr>
      <w:r>
        <w:rPr>
          <w:b/>
          <w:color w:val="19432F"/>
        </w:rPr>
        <w:t>5. Membership &amp; Digital Ecosystem</w:t>
      </w:r>
      <w:r>
        <w:rPr/>
        <w:t xml:space="preserve"> — Loyalty, membership, digital ordering and delivery can increase frequency, basket size and customer lifetime value.</w:t>
      </w:r>
    </w:p>
    <w:p>
      <w:pPr>
        <w:pStyle w:val="Heading1"/>
        <w:rPr/>
      </w:pPr>
      <w:r>
        <w:rPr/>
        <w:t>6. FAST PAYBACK STRATEGY</w:t>
      </w:r>
    </w:p>
    <w:p>
      <w:pPr>
        <w:pStyle w:val="Normal"/>
        <w:rPr/>
      </w:pPr>
      <w:r>
        <w:rPr/>
        <w:t>SFT will prioritize sales productivity and cash generation rather than maximizing store size. New stores should be approved only when projected economics satisfy disciplined investment thresholds.</w:t>
      </w:r>
    </w:p>
    <w:p>
      <w:pPr>
        <w:pStyle w:val="ListBullet"/>
        <w:numPr>
          <w:ilvl w:val="0"/>
          <w:numId w:val="1"/>
        </w:numPr>
        <w:spacing w:before="0" w:after="40"/>
        <w:contextualSpacing/>
        <w:rPr/>
      </w:pPr>
      <w:r>
        <w:rPr/>
        <w:t>Sales per m² and sales per store per day</w:t>
      </w:r>
    </w:p>
    <w:p>
      <w:pPr>
        <w:pStyle w:val="ListBullet"/>
        <w:numPr>
          <w:ilvl w:val="0"/>
          <w:numId w:val="1"/>
        </w:numPr>
        <w:spacing w:before="0" w:after="40"/>
        <w:contextualSpacing/>
        <w:rPr/>
      </w:pPr>
      <w:r>
        <w:rPr/>
        <w:t>Gross margin and category contribution</w:t>
      </w:r>
    </w:p>
    <w:p>
      <w:pPr>
        <w:pStyle w:val="ListBullet"/>
        <w:numPr>
          <w:ilvl w:val="0"/>
          <w:numId w:val="1"/>
        </w:numPr>
        <w:spacing w:before="0" w:after="40"/>
        <w:contextualSpacing/>
        <w:rPr/>
      </w:pPr>
      <w:r>
        <w:rPr/>
        <w:t>Rent-to-sales ratio</w:t>
      </w:r>
    </w:p>
    <w:p>
      <w:pPr>
        <w:pStyle w:val="ListBullet"/>
        <w:numPr>
          <w:ilvl w:val="0"/>
          <w:numId w:val="1"/>
        </w:numPr>
        <w:spacing w:before="0" w:after="40"/>
        <w:contextualSpacing/>
        <w:rPr/>
      </w:pPr>
      <w:r>
        <w:rPr/>
        <w:t>Payroll-to-sales ratio</w:t>
      </w:r>
    </w:p>
    <w:p>
      <w:pPr>
        <w:pStyle w:val="ListBullet"/>
        <w:numPr>
          <w:ilvl w:val="0"/>
          <w:numId w:val="1"/>
        </w:numPr>
        <w:spacing w:before="0" w:after="40"/>
        <w:contextualSpacing/>
        <w:rPr/>
      </w:pPr>
      <w:r>
        <w:rPr/>
        <w:t>Inventory turnover and shrinkage</w:t>
      </w:r>
    </w:p>
    <w:p>
      <w:pPr>
        <w:pStyle w:val="ListBullet"/>
        <w:numPr>
          <w:ilvl w:val="0"/>
          <w:numId w:val="1"/>
        </w:numPr>
        <w:spacing w:before="0" w:after="40"/>
        <w:contextualSpacing/>
        <w:rPr/>
      </w:pPr>
      <w:r>
        <w:rPr/>
        <w:t>Store EBITDA and net profit</w:t>
      </w:r>
    </w:p>
    <w:p>
      <w:pPr>
        <w:pStyle w:val="ListBullet"/>
        <w:numPr>
          <w:ilvl w:val="0"/>
          <w:numId w:val="1"/>
        </w:numPr>
        <w:spacing w:before="0" w:after="40"/>
        <w:contextualSpacing/>
        <w:rPr/>
      </w:pPr>
      <w:r>
        <w:rPr/>
        <w:t>CAPEX per store and cash-on-cash payback</w:t>
      </w:r>
    </w:p>
    <w:p>
      <w:pPr>
        <w:pStyle w:val="Heading1"/>
        <w:rPr/>
      </w:pPr>
      <w:r>
        <w:rPr/>
        <w:t>7. THREE-YEAR EXPANSION ROADMAP</w:t>
      </w:r>
    </w:p>
    <w:tbl>
      <w:tblPr>
        <w:tblW w:w="1008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080"/>
        <w:gridCol w:w="1884"/>
        <w:gridCol w:w="2880"/>
        <w:gridCol w:w="4236"/>
      </w:tblGrid>
      <w:tr>
        <w:trPr/>
        <w:tc>
          <w:tcPr>
            <w:tcW w:w="1080" w:type="dxa"/>
            <w:tcBorders/>
            <w:shd w:fill="19432F" w:val="clear"/>
            <w:vAlign w:val="center"/>
          </w:tcPr>
          <w:p>
            <w:pPr>
              <w:pStyle w:val="Normal"/>
              <w:widowControl/>
              <w:bidi w:val="0"/>
              <w:spacing w:lineRule="auto" w:line="276" w:before="0" w:after="100"/>
              <w:jc w:val="start"/>
              <w:rPr/>
            </w:pPr>
            <w:r>
              <w:rPr>
                <w:b/>
                <w:color w:val="FFFFFF"/>
                <w:sz w:val="16"/>
              </w:rPr>
              <w:t>YEAR</w:t>
            </w:r>
          </w:p>
        </w:tc>
        <w:tc>
          <w:tcPr>
            <w:tcW w:w="1884" w:type="dxa"/>
            <w:tcBorders/>
            <w:shd w:fill="19432F" w:val="clear"/>
            <w:vAlign w:val="center"/>
          </w:tcPr>
          <w:p>
            <w:pPr>
              <w:pStyle w:val="Normal"/>
              <w:widowControl/>
              <w:bidi w:val="0"/>
              <w:spacing w:lineRule="auto" w:line="276" w:before="0" w:after="100"/>
              <w:jc w:val="start"/>
              <w:rPr/>
            </w:pPr>
            <w:r>
              <w:rPr>
                <w:b/>
                <w:color w:val="FFFFFF"/>
                <w:sz w:val="16"/>
              </w:rPr>
              <w:t>STORE TARGET</w:t>
            </w:r>
          </w:p>
        </w:tc>
        <w:tc>
          <w:tcPr>
            <w:tcW w:w="2880" w:type="dxa"/>
            <w:tcBorders/>
            <w:shd w:fill="19432F" w:val="clear"/>
            <w:vAlign w:val="center"/>
          </w:tcPr>
          <w:p>
            <w:pPr>
              <w:pStyle w:val="Normal"/>
              <w:widowControl/>
              <w:bidi w:val="0"/>
              <w:spacing w:lineRule="auto" w:line="276" w:before="0" w:after="100"/>
              <w:jc w:val="start"/>
              <w:rPr/>
            </w:pPr>
            <w:r>
              <w:rPr>
                <w:b/>
                <w:color w:val="FFFFFF"/>
                <w:sz w:val="16"/>
              </w:rPr>
              <w:t>PRIMARY OBJECTIVE</w:t>
            </w:r>
          </w:p>
        </w:tc>
        <w:tc>
          <w:tcPr>
            <w:tcW w:w="4236" w:type="dxa"/>
            <w:tcBorders/>
            <w:shd w:fill="19432F" w:val="clear"/>
            <w:vAlign w:val="center"/>
          </w:tcPr>
          <w:p>
            <w:pPr>
              <w:pStyle w:val="Normal"/>
              <w:widowControl/>
              <w:bidi w:val="0"/>
              <w:spacing w:lineRule="auto" w:line="276" w:before="0" w:after="100"/>
              <w:jc w:val="start"/>
              <w:rPr/>
            </w:pPr>
            <w:r>
              <w:rPr>
                <w:b/>
                <w:color w:val="FFFFFF"/>
                <w:sz w:val="16"/>
              </w:rPr>
              <w:t>KEY PRIORITIES</w:t>
            </w:r>
          </w:p>
        </w:tc>
      </w:tr>
      <w:tr>
        <w:trPr/>
        <w:tc>
          <w:tcPr>
            <w:tcW w:w="1080" w:type="dxa"/>
            <w:tcBorders/>
            <w:vAlign w:val="center"/>
          </w:tcPr>
          <w:p>
            <w:pPr>
              <w:pStyle w:val="Normal"/>
              <w:widowControl/>
              <w:bidi w:val="0"/>
              <w:spacing w:lineRule="auto" w:line="276" w:before="0" w:after="100"/>
              <w:jc w:val="start"/>
              <w:rPr/>
            </w:pPr>
            <w:r>
              <w:rPr>
                <w:b w:val="false"/>
                <w:sz w:val="17"/>
              </w:rPr>
              <w:t>Year 1</w:t>
            </w:r>
          </w:p>
        </w:tc>
        <w:tc>
          <w:tcPr>
            <w:tcW w:w="1884" w:type="dxa"/>
            <w:tcBorders/>
            <w:vAlign w:val="center"/>
          </w:tcPr>
          <w:p>
            <w:pPr>
              <w:pStyle w:val="Normal"/>
              <w:widowControl/>
              <w:bidi w:val="0"/>
              <w:spacing w:lineRule="auto" w:line="276" w:before="0" w:after="100"/>
              <w:jc w:val="start"/>
              <w:rPr/>
            </w:pPr>
            <w:r>
              <w:rPr>
                <w:b/>
                <w:sz w:val="17"/>
              </w:rPr>
              <w:t>10</w:t>
            </w:r>
          </w:p>
        </w:tc>
        <w:tc>
          <w:tcPr>
            <w:tcW w:w="2880" w:type="dxa"/>
            <w:tcBorders/>
            <w:vAlign w:val="center"/>
          </w:tcPr>
          <w:p>
            <w:pPr>
              <w:pStyle w:val="Normal"/>
              <w:widowControl/>
              <w:bidi w:val="0"/>
              <w:spacing w:lineRule="auto" w:line="276" w:before="0" w:after="100"/>
              <w:jc w:val="start"/>
              <w:rPr/>
            </w:pPr>
            <w:r>
              <w:rPr>
                <w:b w:val="false"/>
                <w:sz w:val="17"/>
              </w:rPr>
              <w:t>Prove the model</w:t>
            </w:r>
          </w:p>
        </w:tc>
        <w:tc>
          <w:tcPr>
            <w:tcW w:w="4236" w:type="dxa"/>
            <w:tcBorders/>
            <w:vAlign w:val="center"/>
          </w:tcPr>
          <w:p>
            <w:pPr>
              <w:pStyle w:val="Normal"/>
              <w:widowControl/>
              <w:bidi w:val="0"/>
              <w:spacing w:lineRule="auto" w:line="276" w:before="0" w:after="100"/>
              <w:jc w:val="start"/>
              <w:rPr/>
            </w:pPr>
            <w:r>
              <w:rPr>
                <w:b w:val="false"/>
                <w:sz w:val="17"/>
              </w:rPr>
              <w:t>Unit economics, procurement, SOPs, store format</w:t>
            </w:r>
          </w:p>
        </w:tc>
      </w:tr>
      <w:tr>
        <w:trPr/>
        <w:tc>
          <w:tcPr>
            <w:tcW w:w="1080" w:type="dxa"/>
            <w:tcBorders/>
            <w:vAlign w:val="center"/>
          </w:tcPr>
          <w:p>
            <w:pPr>
              <w:pStyle w:val="Normal"/>
              <w:widowControl/>
              <w:bidi w:val="0"/>
              <w:spacing w:lineRule="auto" w:line="276" w:before="0" w:after="100"/>
              <w:jc w:val="start"/>
              <w:rPr/>
            </w:pPr>
            <w:r>
              <w:rPr>
                <w:b w:val="false"/>
                <w:sz w:val="17"/>
              </w:rPr>
              <w:t>Year 2</w:t>
            </w:r>
          </w:p>
        </w:tc>
        <w:tc>
          <w:tcPr>
            <w:tcW w:w="1884" w:type="dxa"/>
            <w:tcBorders/>
            <w:vAlign w:val="center"/>
          </w:tcPr>
          <w:p>
            <w:pPr>
              <w:pStyle w:val="Normal"/>
              <w:widowControl/>
              <w:bidi w:val="0"/>
              <w:spacing w:lineRule="auto" w:line="276" w:before="0" w:after="100"/>
              <w:jc w:val="start"/>
              <w:rPr/>
            </w:pPr>
            <w:r>
              <w:rPr>
                <w:b/>
                <w:sz w:val="17"/>
              </w:rPr>
              <w:t>25</w:t>
            </w:r>
          </w:p>
        </w:tc>
        <w:tc>
          <w:tcPr>
            <w:tcW w:w="2880" w:type="dxa"/>
            <w:tcBorders/>
            <w:vAlign w:val="center"/>
          </w:tcPr>
          <w:p>
            <w:pPr>
              <w:pStyle w:val="Normal"/>
              <w:widowControl/>
              <w:bidi w:val="0"/>
              <w:spacing w:lineRule="auto" w:line="276" w:before="0" w:after="100"/>
              <w:jc w:val="start"/>
              <w:rPr/>
            </w:pPr>
            <w:r>
              <w:rPr>
                <w:b w:val="false"/>
                <w:sz w:val="17"/>
              </w:rPr>
              <w:t>Scale the proven format</w:t>
            </w:r>
          </w:p>
        </w:tc>
        <w:tc>
          <w:tcPr>
            <w:tcW w:w="4236" w:type="dxa"/>
            <w:tcBorders/>
            <w:vAlign w:val="center"/>
          </w:tcPr>
          <w:p>
            <w:pPr>
              <w:pStyle w:val="Normal"/>
              <w:widowControl/>
              <w:bidi w:val="0"/>
              <w:spacing w:lineRule="auto" w:line="276" w:before="0" w:after="100"/>
              <w:jc w:val="start"/>
              <w:rPr/>
            </w:pPr>
            <w:r>
              <w:rPr>
                <w:b w:val="false"/>
                <w:sz w:val="17"/>
              </w:rPr>
              <w:t>Density, technology, loyalty, private label</w:t>
            </w:r>
          </w:p>
        </w:tc>
      </w:tr>
      <w:tr>
        <w:trPr/>
        <w:tc>
          <w:tcPr>
            <w:tcW w:w="1080" w:type="dxa"/>
            <w:tcBorders/>
            <w:vAlign w:val="center"/>
          </w:tcPr>
          <w:p>
            <w:pPr>
              <w:pStyle w:val="Normal"/>
              <w:widowControl/>
              <w:bidi w:val="0"/>
              <w:spacing w:lineRule="auto" w:line="276" w:before="0" w:after="100"/>
              <w:jc w:val="start"/>
              <w:rPr/>
            </w:pPr>
            <w:r>
              <w:rPr>
                <w:b w:val="false"/>
                <w:sz w:val="17"/>
              </w:rPr>
              <w:t>Year 3</w:t>
            </w:r>
          </w:p>
        </w:tc>
        <w:tc>
          <w:tcPr>
            <w:tcW w:w="1884" w:type="dxa"/>
            <w:tcBorders/>
            <w:vAlign w:val="center"/>
          </w:tcPr>
          <w:p>
            <w:pPr>
              <w:pStyle w:val="Normal"/>
              <w:widowControl/>
              <w:bidi w:val="0"/>
              <w:spacing w:lineRule="auto" w:line="276" w:before="0" w:after="100"/>
              <w:jc w:val="start"/>
              <w:rPr/>
            </w:pPr>
            <w:r>
              <w:rPr>
                <w:b/>
                <w:sz w:val="17"/>
              </w:rPr>
              <w:t>50</w:t>
            </w:r>
          </w:p>
        </w:tc>
        <w:tc>
          <w:tcPr>
            <w:tcW w:w="2880" w:type="dxa"/>
            <w:tcBorders/>
            <w:vAlign w:val="center"/>
          </w:tcPr>
          <w:p>
            <w:pPr>
              <w:pStyle w:val="Normal"/>
              <w:widowControl/>
              <w:bidi w:val="0"/>
              <w:spacing w:lineRule="auto" w:line="276" w:before="0" w:after="100"/>
              <w:jc w:val="start"/>
              <w:rPr/>
            </w:pPr>
            <w:r>
              <w:rPr>
                <w:b w:val="false"/>
                <w:sz w:val="17"/>
              </w:rPr>
              <w:t>Build a national urban network</w:t>
            </w:r>
          </w:p>
        </w:tc>
        <w:tc>
          <w:tcPr>
            <w:tcW w:w="4236" w:type="dxa"/>
            <w:tcBorders/>
            <w:vAlign w:val="center"/>
          </w:tcPr>
          <w:p>
            <w:pPr>
              <w:pStyle w:val="Normal"/>
              <w:widowControl/>
              <w:bidi w:val="0"/>
              <w:spacing w:lineRule="auto" w:line="276" w:before="0" w:after="100"/>
              <w:jc w:val="start"/>
              <w:rPr/>
            </w:pPr>
            <w:r>
              <w:rPr>
                <w:b w:val="false"/>
                <w:sz w:val="17"/>
              </w:rPr>
              <w:t>Major-city expansion, supply leverage, brand scale</w:t>
            </w:r>
          </w:p>
        </w:tc>
      </w:tr>
    </w:tbl>
    <w:p>
      <w:pPr>
        <w:pStyle w:val="Normal"/>
        <w:rPr/>
      </w:pPr>
      <w:r>
        <w:rPr/>
      </w:r>
    </w:p>
    <w:p>
      <w:pPr>
        <w:pStyle w:val="Normal"/>
        <w:rPr/>
      </w:pPr>
      <w:r>
        <w:rPr/>
        <w:t>Priority markets may include Ho Chi Minh City, Hanoi, Da Nang, Hai Phong, Can Tho and other high-density urban markets, subject to location economics and rollout readiness.</w:t>
      </w:r>
    </w:p>
    <w:p>
      <w:pPr>
        <w:pStyle w:val="Heading1"/>
        <w:rPr/>
      </w:pPr>
      <w:r>
        <w:rPr/>
        <w:t>8. THE SFT SCALE FLYWHEEL</w:t>
      </w:r>
    </w:p>
    <w:p>
      <w:pPr>
        <w:pStyle w:val="Normal"/>
        <w:jc w:val="center"/>
        <w:rPr/>
      </w:pPr>
      <w:r>
        <w:rPr>
          <w:b/>
          <w:color w:val="19432F"/>
          <w:sz w:val="22"/>
        </w:rPr>
        <w:t>MORE STORES  →  HIGHER PURCHASING VOLUME  →  BETTER SUPPLIER TERMS</w:t>
        <w:br/>
        <w:t>→  HIGHER GROSS MARGIN  →  STRONGER VALUE PROPOSITION  →  HIGHER TRAFFIC</w:t>
        <w:br/>
        <w:t>→  HIGHER STORE REVENUE  →  FASTER PAYBACK  →  MORE STORES</w:t>
      </w:r>
    </w:p>
    <w:p>
      <w:pPr>
        <w:pStyle w:val="Heading1"/>
        <w:rPr/>
      </w:pPr>
      <w:r>
        <w:rPr/>
        <w:t>9. INVESTMENT THESIS</w:t>
      </w:r>
    </w:p>
    <w:p>
      <w:pPr>
        <w:pStyle w:val="Normal"/>
        <w:rPr/>
      </w:pPr>
      <w:r>
        <w:rPr>
          <w:b/>
          <w:color w:val="B07627"/>
        </w:rPr>
        <w:t>ASSET LIGHT</w:t>
      </w:r>
      <w:r>
        <w:rPr/>
        <w:t xml:space="preserve"> — Lease rather than own real estate and minimize non-revenue-generating CAPEX.</w:t>
      </w:r>
    </w:p>
    <w:p>
      <w:pPr>
        <w:pStyle w:val="Normal"/>
        <w:rPr/>
      </w:pPr>
      <w:r>
        <w:rPr>
          <w:b/>
          <w:color w:val="B07627"/>
        </w:rPr>
        <w:t>HIGH CASH GENERATION</w:t>
      </w:r>
      <w:r>
        <w:rPr/>
        <w:t xml:space="preserve"> — Daily consumer necessities support frequent transactions and recurring cash flow.</w:t>
      </w:r>
    </w:p>
    <w:p>
      <w:pPr>
        <w:pStyle w:val="Normal"/>
        <w:rPr/>
      </w:pPr>
      <w:r>
        <w:rPr>
          <w:b/>
          <w:color w:val="B07627"/>
        </w:rPr>
        <w:t>18% NET PROFIT TARGET</w:t>
      </w:r>
      <w:r>
        <w:rPr/>
        <w:t xml:space="preserve"> — Margin expansion is designed to come from procurement scale, vendor income, private label and supplier monetization.</w:t>
      </w:r>
    </w:p>
    <w:p>
      <w:pPr>
        <w:pStyle w:val="Normal"/>
        <w:rPr/>
      </w:pPr>
      <w:r>
        <w:rPr>
          <w:b/>
          <w:color w:val="B07627"/>
        </w:rPr>
        <w:t>FAST CAPITAL RECOVERY</w:t>
      </w:r>
      <w:r>
        <w:rPr/>
        <w:t xml:space="preserve"> — Compact stores, disciplined CAPEX and high revenue/m² are intended to shorten payback.</w:t>
      </w:r>
    </w:p>
    <w:p>
      <w:pPr>
        <w:pStyle w:val="Normal"/>
        <w:rPr/>
      </w:pPr>
      <w:r>
        <w:rPr>
          <w:b/>
          <w:color w:val="B07627"/>
        </w:rPr>
        <w:t>HIGHLY SCALABLE</w:t>
      </w:r>
      <w:r>
        <w:rPr/>
        <w:t xml:space="preserve"> — A standardized operating system can be replicated across multiple cities.</w:t>
      </w:r>
    </w:p>
    <w:p>
      <w:pPr>
        <w:pStyle w:val="Heading1"/>
        <w:rPr/>
      </w:pPr>
      <w:r>
        <w:rPr/>
        <w:t>10. THREE-YEAR VISION</w:t>
      </w:r>
    </w:p>
    <w:p>
      <w:pPr>
        <w:pStyle w:val="Normal"/>
        <w:jc w:val="center"/>
        <w:rPr/>
      </w:pPr>
      <w:r>
        <w:rPr>
          <w:b/>
          <w:color w:val="19432F"/>
          <w:sz w:val="36"/>
        </w:rPr>
        <w:t>10 STORES  →  25 STORES  →  50 STORES</w:t>
      </w:r>
    </w:p>
    <w:p>
      <w:pPr>
        <w:pStyle w:val="Normal"/>
        <w:jc w:val="center"/>
        <w:rPr/>
      </w:pPr>
      <w:r>
        <w:rPr>
          <w:i/>
          <w:sz w:val="22"/>
        </w:rPr>
        <w:t>One retail network. One procurement platform. One consumer ecosystem. One recognizable Vietnamese retail brand.</w:t>
      </w:r>
    </w:p>
    <w:p>
      <w:pPr>
        <w:pStyle w:val="Normal"/>
        <w:spacing w:before="0" w:after="100"/>
        <w:jc w:val="center"/>
        <w:rPr/>
      </w:pPr>
      <w:r>
        <w:rPr>
          <w:b/>
          <w:color w:val="19432F"/>
          <w:sz w:val="24"/>
        </w:rPr>
        <w:t>SFT CHỢ KIỂU MỚI</w:t>
        <w:br/>
        <w:t>The Familiarity of a Traditional Market. The Standards of Modern Retail.</w:t>
        <w:br/>
        <w:t>The Economics of an Asset-Light Platform.</w:t>
      </w:r>
    </w:p>
    <w:sectPr>
      <w:footerReference w:type="even" r:id="rId2"/>
      <w:footerReference w:type="default" r:id="rId3"/>
      <w:footerReference w:type="first" r:id="rId4"/>
      <w:type w:val="nextPage"/>
      <w:pgSz w:w="12240" w:h="15840"/>
      <w:pgMar w:left="1080" w:right="1080" w:gutter="0" w:header="0" w:top="936" w:footer="720" w:bottom="93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Aptos">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color w:val="787878"/>
        <w:sz w:val="16"/>
      </w:rPr>
      <w:t>SFT CHỢ KIỂU MỚI  |  Confidential Investment Teaser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color w:val="787878"/>
        <w:sz w:val="16"/>
      </w:rPr>
      <w:t>SFT CHỢ KIỂU MỚI  |  Confidential Investment Teaser</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76" w:before="0" w:after="100"/>
      <w:jc w:val="start"/>
    </w:pPr>
    <w:rPr>
      <w:rFonts w:ascii="Aptos" w:hAnsi="Aptos" w:eastAsia="ＭＳ 明朝" w:cs="" w:cstheme="minorBidi" w:eastAsiaTheme="minorEastAsia"/>
      <w:color w:val="auto"/>
      <w:kern w:val="0"/>
      <w:sz w:val="19"/>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ＭＳ ゴシック" w:cs="" w:asciiTheme="majorHAnsi" w:cstheme="majorBidi" w:eastAsiaTheme="majorEastAsia" w:hAnsiTheme="majorHAnsi"/>
      <w:b/>
      <w:bCs/>
      <w:color w:val="19432F"/>
      <w:sz w:val="34"/>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ＭＳ ゴシック" w:cs="" w:asciiTheme="majorHAnsi" w:cstheme="majorBidi" w:eastAsiaTheme="majorEastAsia" w:hAnsiTheme="majorHAnsi"/>
      <w:b/>
      <w:bCs/>
      <w:color w:val="B07627"/>
      <w:sz w:val="24"/>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1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ＭＳ ゴシック" w:cs="" w:asciiTheme="majorHAnsi" w:cstheme="majorBidi" w:eastAsiaTheme="majorEastAsia" w:hAnsiTheme="majorHAnsi"/>
      <w:b/>
      <w:color w:val="19432F"/>
      <w:spacing w:val="5"/>
      <w:kern w:val="2"/>
      <w:sz w:val="54"/>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10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100"/>
      <w:ind w:hanging="360" w:start="720"/>
      <w:contextualSpacing/>
    </w:pPr>
    <w:rPr/>
  </w:style>
  <w:style w:type="paragraph" w:styleId="List3">
    <w:name w:val="List 3"/>
    <w:basedOn w:val="Normal"/>
    <w:uiPriority w:val="99"/>
    <w:unhideWhenUsed/>
    <w:qFormat/>
    <w:rsid w:val="00326f90"/>
    <w:pPr>
      <w:spacing w:before="0" w:after="100"/>
      <w:ind w:hanging="360" w:start="1080"/>
      <w:contextualSpacing/>
    </w:pPr>
    <w:rPr/>
  </w:style>
  <w:style w:type="paragraph" w:styleId="ListBullet">
    <w:name w:val="List Bullet"/>
    <w:basedOn w:val="Normal"/>
    <w:uiPriority w:val="99"/>
    <w:unhideWhenUsed/>
    <w:rsid w:val="00326f90"/>
    <w:pPr>
      <w:numPr>
        <w:ilvl w:val="0"/>
        <w:numId w:val="1"/>
      </w:numPr>
      <w:spacing w:before="0" w:after="100"/>
      <w:contextualSpacing/>
    </w:pPr>
    <w:rPr/>
  </w:style>
  <w:style w:type="paragraph" w:styleId="ListBullet2">
    <w:name w:val="List Bullet 2"/>
    <w:basedOn w:val="Normal"/>
    <w:uiPriority w:val="99"/>
    <w:unhideWhenUsed/>
    <w:rsid w:val="00326f90"/>
    <w:pPr>
      <w:numPr>
        <w:ilvl w:val="0"/>
        <w:numId w:val="2"/>
      </w:numPr>
      <w:spacing w:before="0" w:after="100"/>
      <w:contextualSpacing/>
    </w:pPr>
    <w:rPr/>
  </w:style>
  <w:style w:type="paragraph" w:styleId="ListBullet3">
    <w:name w:val="List Bullet 3"/>
    <w:basedOn w:val="Normal"/>
    <w:uiPriority w:val="99"/>
    <w:unhideWhenUsed/>
    <w:rsid w:val="00326f90"/>
    <w:pPr>
      <w:numPr>
        <w:ilvl w:val="0"/>
        <w:numId w:val="3"/>
      </w:numPr>
      <w:spacing w:before="0" w:after="100"/>
      <w:contextualSpacing/>
    </w:pPr>
    <w:rPr/>
  </w:style>
  <w:style w:type="paragraph" w:styleId="ListNumber">
    <w:name w:val="List Number"/>
    <w:basedOn w:val="Normal"/>
    <w:uiPriority w:val="99"/>
    <w:unhideWhenUsed/>
    <w:rsid w:val="00326f90"/>
    <w:pPr>
      <w:numPr>
        <w:ilvl w:val="0"/>
        <w:numId w:val="4"/>
      </w:numPr>
      <w:spacing w:before="0" w:after="100"/>
      <w:contextualSpacing/>
    </w:pPr>
    <w:rPr/>
  </w:style>
  <w:style w:type="paragraph" w:styleId="ListNumber2">
    <w:name w:val="List Number 2"/>
    <w:basedOn w:val="Normal"/>
    <w:uiPriority w:val="99"/>
    <w:unhideWhenUsed/>
    <w:rsid w:val="0029639d"/>
    <w:pPr>
      <w:numPr>
        <w:ilvl w:val="0"/>
        <w:numId w:val="5"/>
      </w:numPr>
      <w:spacing w:before="0" w:after="100"/>
      <w:contextualSpacing/>
    </w:pPr>
    <w:rPr/>
  </w:style>
  <w:style w:type="paragraph" w:styleId="ListNumber3">
    <w:name w:val="List Number 3"/>
    <w:basedOn w:val="Normal"/>
    <w:uiPriority w:val="99"/>
    <w:unhideWhenUsed/>
    <w:rsid w:val="0029639d"/>
    <w:pPr>
      <w:numPr>
        <w:ilvl w:val="0"/>
        <w:numId w:val="6"/>
      </w:numPr>
      <w:spacing w:before="0" w:after="10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LibreOffice/26.2.6.3$Windows_X86_64 LibreOffice_project/8221e31b3ac356a1623c672912a3d2b492f7e3d1</Application>
  <AppVersion>15.0000</AppVersion>
  <Pages>4</Pages>
  <Words>889</Words>
  <Characters>5380</Characters>
  <CharactersWithSpaces>6182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2026-09-29T12:50:59Z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