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spacing w:before="0" w:after="100"/>
        <w:contextualSpacing/>
        <w:rPr/>
      </w:pPr>
      <w:r>
        <w:rPr/>
        <w:t>Long An Integrated Livestock Farm Investment Proposal</w:t>
      </w:r>
    </w:p>
    <w:p>
      <w:pPr>
        <w:pStyle w:val="Normal"/>
        <w:rPr>
          <w:sz w:val="20"/>
          <w:szCs w:val="20"/>
        </w:rPr>
      </w:pPr>
      <w:r>
        <w:rPr>
          <w:sz w:val="20"/>
          <w:szCs w:val="20"/>
        </w:rPr>
        <w:t>Bilingual preliminary investment memorandum  |  10 hectares  |  Proposed cash investment USD 10 million  |  28 September 2026</w:t>
      </w:r>
    </w:p>
    <w:p>
      <w:pPr>
        <w:pStyle w:val="Heading1"/>
        <w:rPr/>
      </w:pPr>
      <w:r>
        <w:rPr/>
        <w:t>Executive summary</w:t>
      </w:r>
    </w:p>
    <w:p>
      <w:pPr>
        <w:pStyle w:val="Normal"/>
        <w:rPr>
          <w:sz w:val="20"/>
          <w:szCs w:val="20"/>
        </w:rPr>
      </w:pPr>
      <w:r>
        <w:rPr>
          <w:sz w:val="20"/>
          <w:szCs w:val="20"/>
        </w:rPr>
        <w:t>We propose a project company to develop a biosecure, integrated breeding and finishing pig farm on a 10 hectare site in Long An. The Vietnamese partner proposes to contribute legally transferable land use rights or another lawful land arrangement for a 20% shareholding. The investor would fund all USD 10 million of proposed cash capital for 80%. This commercial proposal is conditional on independent land valuation, legal confirmation of the contribution route and a negotiated shareholders agreement.</w:t>
      </w:r>
    </w:p>
    <w:p>
      <w:pPr>
        <w:pStyle w:val="Normal"/>
        <w:rPr>
          <w:sz w:val="20"/>
          <w:szCs w:val="20"/>
        </w:rPr>
      </w:pPr>
      <w:r>
        <w:rPr>
          <w:sz w:val="20"/>
          <w:szCs w:val="20"/>
        </w:rPr>
        <w:t>The screening case assumes 900 breeding sows and approximately 18,900 market hogs sold annually at steady state. At 110 kg live weight and USD 2.75/kg, hog sales would be approximately USD 5.72 million annually. Illustrative EBITDA is USD 1.30 million, a 22.8% margin, and simple payback on the USD 10 million cash investment is approximately 7.7 years before taxes, financing and terminal proceeds. These are internally constructed assumptions, not verified forecasts or an investable feasibility study.</w:t>
      </w:r>
    </w:p>
    <w:p>
      <w:pPr>
        <w:pStyle w:val="Normal"/>
        <w:rPr>
          <w:sz w:val="20"/>
          <w:szCs w:val="20"/>
        </w:rPr>
      </w:pPr>
      <w:r>
        <w:rPr>
          <w:sz w:val="20"/>
          <w:szCs w:val="20"/>
        </w:rPr>
        <w:t>Recommendation: proceed to staged diligence, with no construction commitment until land title and zoning, biosecurity distances, environmental approvals, EPC prices, breeding stock, feed supply and offtake have been validated. Poultry or a satellite grower model remains an alternative if the site proves unsuitable for pigs.</w:t>
      </w:r>
    </w:p>
    <w:p>
      <w:pPr>
        <w:pStyle w:val="Heading1"/>
        <w:rPr/>
      </w:pPr>
      <w:r>
        <w:rPr/>
        <w:t>Project concept and operating plan</w:t>
      </w:r>
    </w:p>
    <w:p>
      <w:pPr>
        <w:pStyle w:val="Normal"/>
        <w:rPr>
          <w:sz w:val="20"/>
          <w:szCs w:val="20"/>
        </w:rPr>
      </w:pPr>
      <w:r>
        <w:rPr>
          <w:sz w:val="20"/>
          <w:szCs w:val="20"/>
        </w:rPr>
        <w:t>Indicative allocation: 3.0 ha breeding and gilt areas; 2.5 ha nursery and finishing; 1.0 ha quarantine, veterinary and feed storage; 1.2 ha effluent, biogas, manure handling and buffers; 1.0 ha roads and separate logistics flows; 1.3 ha trees and future reserve. A surveyed engineering design must replace this indicative footprint. The operating sequence covers quarantined breeding stock, gestation, farrowing, nursery, finishing and live hog dispatch. A slaughterhouse is excluded from Phase 1.</w:t>
      </w:r>
    </w:p>
    <w:p>
      <w:pPr>
        <w:pStyle w:val="Normal"/>
        <w:rPr>
          <w:sz w:val="20"/>
          <w:szCs w:val="20"/>
        </w:rPr>
      </w:pPr>
      <w:r>
        <w:rPr>
          <w:sz w:val="20"/>
          <w:szCs w:val="20"/>
        </w:rPr>
        <w:t>Biosecurity requires clean and dirty traffic routes, controlled access, vehicle disinfection, dedicated staff changing facilities, all in all out pens where feasible, independent water monitoring and written outbreak protocols. Byproducts such as biogas and compost have no revenue in the base case until technical trials and buyers are secured.</w:t>
      </w:r>
    </w:p>
    <w:p>
      <w:pPr>
        <w:pStyle w:val="Heading1"/>
        <w:rPr/>
      </w:pPr>
      <w:r>
        <w:rPr/>
        <w:t>Capital plan and development timetable</w:t>
      </w:r>
    </w:p>
    <w:tbl>
      <w:tblPr>
        <w:tblStyle w:val="TableGrid"/>
        <w:tblW w:w="4584"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192"/>
        <w:gridCol w:w="1392"/>
      </w:tblGrid>
      <w:tr>
        <w:trPr/>
        <w:tc>
          <w:tcPr>
            <w:tcW w:w="3192"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Use of investor cash</w:t>
            </w:r>
          </w:p>
        </w:tc>
        <w:tc>
          <w:tcPr>
            <w:tcW w:w="1392" w:type="dxa"/>
            <w:tcBorders/>
            <w:shd w:fill="18344A" w:val="clear"/>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b/>
                <w:color w:val="FFFFFF"/>
                <w:kern w:val="0"/>
                <w:sz w:val="20"/>
                <w:szCs w:val="20"/>
                <w:lang w:val="en-US" w:eastAsia="en-US" w:bidi="ar-SA"/>
              </w:rPr>
              <w:t>USD million</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Earthworks, roads and site utilities</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1.20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Buildings, MEP and automation</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4.00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Foundational breeding stock</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0.70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Effluent, biogas and water systems</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1.00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Design, permits and project management</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0.40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Ramp up working capital</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1.50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Construction and inflation contingency</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1.20</w:t>
            </w:r>
          </w:p>
        </w:tc>
      </w:tr>
      <w:tr>
        <w:trPr/>
        <w:tc>
          <w:tcPr>
            <w:tcW w:w="31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Total</w:t>
            </w:r>
          </w:p>
        </w:tc>
        <w:tc>
          <w:tcPr>
            <w:tcW w:w="1392"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10.00</w:t>
            </w:r>
          </w:p>
        </w:tc>
      </w:tr>
    </w:tbl>
    <w:p>
      <w:pPr>
        <w:pStyle w:val="Normal"/>
        <w:rPr/>
      </w:pPr>
      <w:r>
        <w:rPr/>
      </w:r>
    </w:p>
    <w:p>
      <w:pPr>
        <w:pStyle w:val="Normal"/>
        <w:rPr>
          <w:sz w:val="20"/>
          <w:szCs w:val="20"/>
        </w:rPr>
      </w:pPr>
      <w:r>
        <w:rPr>
          <w:sz w:val="20"/>
          <w:szCs w:val="20"/>
        </w:rPr>
        <w:t>Indicative sequencing is months 0–3 for land and market diligence, 4–6 for design and permits, 7–18 for phased construction, 19–24 for commissioning and stock introduction, and 25–36 for herd ramp up. Calendar dates depend on lawful land access and approvals.</w:t>
      </w:r>
    </w:p>
    <w:p>
      <w:pPr>
        <w:pStyle w:val="Heading1"/>
        <w:rPr/>
      </w:pPr>
      <w:r>
        <w:rPr/>
        <w:t>Financial screening and sensitivities</w:t>
      </w:r>
    </w:p>
    <w:p>
      <w:pPr>
        <w:pStyle w:val="Normal"/>
        <w:rPr>
          <w:sz w:val="20"/>
          <w:szCs w:val="20"/>
        </w:rPr>
      </w:pPr>
      <w:r>
        <w:rPr>
          <w:sz w:val="20"/>
          <w:szCs w:val="20"/>
        </w:rPr>
        <w:t>Steady state volume equals 900 sows × 21 saleable hogs per sow per year = 18,900 head or 2.079 million kg live weight. At USD 2.75/kg, annual hog revenue is USD 5.717 million. Illustrative operating costs are USD 4.417 million, yielding USD 1.300 million EBITDA. These costs combine feed, breeding, labor, veterinary care, utilities, maintenance and administration; they are not supplier quotations. Tax, depreciation, debt service, replacement capex and exit proceeds are omitted.</w:t>
      </w:r>
    </w:p>
    <w:tbl>
      <w:tblPr>
        <w:tblStyle w:val="TableGrid"/>
        <w:tblW w:w="702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344"/>
        <w:gridCol w:w="1176"/>
        <w:gridCol w:w="1164"/>
        <w:gridCol w:w="1620"/>
        <w:gridCol w:w="1716"/>
      </w:tblGrid>
      <w:tr>
        <w:trPr/>
        <w:tc>
          <w:tcPr>
            <w:tcW w:w="1344"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Case</w:t>
            </w:r>
          </w:p>
        </w:tc>
        <w:tc>
          <w:tcPr>
            <w:tcW w:w="1176"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USD/kg</w:t>
            </w:r>
          </w:p>
        </w:tc>
        <w:tc>
          <w:tcPr>
            <w:tcW w:w="1164"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Head/year</w:t>
            </w:r>
          </w:p>
        </w:tc>
        <w:tc>
          <w:tcPr>
            <w:tcW w:w="1620"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Revenue USD m</w:t>
            </w:r>
          </w:p>
        </w:tc>
        <w:tc>
          <w:tcPr>
            <w:tcW w:w="1716"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EBITDA USD m</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Downside</w:t>
            </w:r>
          </w:p>
        </w:tc>
        <w:tc>
          <w:tcPr>
            <w:tcW w:w="117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2.35</w:t>
            </w:r>
          </w:p>
        </w:tc>
        <w:tc>
          <w:tcPr>
            <w:tcW w:w="116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17,000</w:t>
            </w:r>
          </w:p>
        </w:tc>
        <w:tc>
          <w:tcPr>
            <w:tcW w:w="162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4.395</w:t>
            </w:r>
          </w:p>
        </w:tc>
        <w:tc>
          <w:tcPr>
            <w:tcW w:w="171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w:t>
            </w:r>
            <w:r>
              <w:rPr>
                <w:rFonts w:eastAsia="ＭＳ 明朝" w:cs=""/>
                <w:kern w:val="0"/>
                <w:sz w:val="20"/>
                <w:szCs w:val="20"/>
                <w:lang w:val="en-US" w:eastAsia="en-US" w:bidi="ar-SA"/>
              </w:rPr>
              <w:t>0.022</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Base</w:t>
            </w:r>
          </w:p>
        </w:tc>
        <w:tc>
          <w:tcPr>
            <w:tcW w:w="117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2.75</w:t>
            </w:r>
          </w:p>
        </w:tc>
        <w:tc>
          <w:tcPr>
            <w:tcW w:w="116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18,900</w:t>
            </w:r>
          </w:p>
        </w:tc>
        <w:tc>
          <w:tcPr>
            <w:tcW w:w="162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5.717</w:t>
            </w:r>
          </w:p>
        </w:tc>
        <w:tc>
          <w:tcPr>
            <w:tcW w:w="171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1.300</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Upside</w:t>
            </w:r>
          </w:p>
        </w:tc>
        <w:tc>
          <w:tcPr>
            <w:tcW w:w="117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3.05</w:t>
            </w:r>
          </w:p>
        </w:tc>
        <w:tc>
          <w:tcPr>
            <w:tcW w:w="116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20,000</w:t>
            </w:r>
          </w:p>
        </w:tc>
        <w:tc>
          <w:tcPr>
            <w:tcW w:w="162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6.710</w:t>
            </w:r>
          </w:p>
        </w:tc>
        <w:tc>
          <w:tcPr>
            <w:tcW w:w="171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2.293</w:t>
            </w:r>
          </w:p>
        </w:tc>
      </w:tr>
    </w:tbl>
    <w:p>
      <w:pPr>
        <w:pStyle w:val="Normal"/>
        <w:rPr/>
      </w:pPr>
      <w:r>
        <w:rPr/>
      </w:r>
    </w:p>
    <w:p>
      <w:pPr>
        <w:pStyle w:val="Normal"/>
        <w:rPr>
          <w:sz w:val="20"/>
          <w:szCs w:val="20"/>
        </w:rPr>
      </w:pPr>
      <w:r>
        <w:rPr>
          <w:sz w:val="20"/>
          <w:szCs w:val="20"/>
        </w:rPr>
        <w:t>The scenario table holds base operating costs constant solely to isolate price and volume exposure; actual feed and other variable costs change with throughput. At base output, illustrative EBITDA break even is about USD 2.12/kg. A USD 0.10/kg movement changes annual EBITDA by approximately USD 208,000 at unchanged volume. EBITDA is not distributable cash flow. Ten year after tax IRR and NPV require a detailed drawdown, tax, reinvestment and exit model.</w:t>
      </w:r>
    </w:p>
    <w:p>
      <w:pPr>
        <w:pStyle w:val="Heading1"/>
        <w:rPr/>
      </w:pPr>
      <w:r>
        <w:rPr/>
        <w:t>Equity structure, governance and gates</w:t>
      </w:r>
    </w:p>
    <w:p>
      <w:pPr>
        <w:pStyle w:val="Normal"/>
        <w:rPr>
          <w:sz w:val="20"/>
          <w:szCs w:val="20"/>
        </w:rPr>
      </w:pPr>
      <w:r>
        <w:rPr>
          <w:sz w:val="20"/>
          <w:szCs w:val="20"/>
        </w:rPr>
        <w:t>The proposed 20/80 equity split with USD 10 million of investor cash mathematically implies USD 2.5 million pre money and USD 12.5 million post money if the land contribution alone represents the Vietnamese stake. Neither the land value nor its legal contribution route is verified. If an alternative land lease is required, the economics and shareholding should be renegotiated. The project company should own improvements and operate under a documented land tenure sufficient for the asset life.</w:t>
      </w:r>
    </w:p>
    <w:p>
      <w:pPr>
        <w:pStyle w:val="Normal"/>
        <w:rPr>
          <w:sz w:val="20"/>
          <w:szCs w:val="20"/>
        </w:rPr>
      </w:pPr>
      <w:r>
        <w:rPr>
          <w:sz w:val="20"/>
          <w:szCs w:val="20"/>
        </w:rPr>
        <w:t>An indicative five member board would have four investor nominees and one Vietnamese nominee. Reserved matters should cover budgets, debt, related party transactions, dilution, asset disposals and changes in business. Release cash only against legal, civil works, commissioning and production milestones. Monthly reporting should include feed conversion, mortality, weaned pigs per sow, cost per kg, sale price, effluent compliance and liquidity.</w:t>
      </w:r>
    </w:p>
    <w:p>
      <w:pPr>
        <w:pStyle w:val="Heading1"/>
        <w:rPr/>
      </w:pPr>
      <w:r>
        <w:rPr/>
        <w:t>Investment assessment and recommendation</w:t>
      </w:r>
    </w:p>
    <w:p>
      <w:pPr>
        <w:pStyle w:val="Normal"/>
        <w:rPr>
          <w:sz w:val="20"/>
          <w:szCs w:val="20"/>
        </w:rPr>
      </w:pPr>
      <w:r>
        <w:rPr>
          <w:sz w:val="20"/>
          <w:szCs w:val="20"/>
        </w:rPr>
        <w:t>The opportunity merits conditional diligence, but cannot yet be represented as legally permitted or bankable. The main exposure is land and permitting, African swine fever and other disease, volatile hog and feed prices, and construction cost. The base margin is sensitive enough that a credible offtake agreement, fixed scope EPC quotations, audited land documents, environmental solution and a fully linked after tax model are prerequisites to an investment committee decision.</w:t>
      </w:r>
    </w:p>
    <w:p>
      <w:pPr>
        <w:pStyle w:val="Normal"/>
        <w:rPr>
          <w:sz w:val="20"/>
          <w:szCs w:val="20"/>
        </w:rPr>
      </w:pPr>
      <w:r>
        <w:rPr>
          <w:sz w:val="20"/>
          <w:szCs w:val="20"/>
        </w:rPr>
        <w:t>We invite a financially capable strategic partner with livestock operating expertise to assess an investment of USD 10 million for the proposed 80% stake. A 60–90 day conditional diligence period could produce a site survey, title and legal review, preliminary design, commercial quotations and a negotiated term sheet. Financial close should follow only after agreed conditions precedent have been met.</w:t>
      </w:r>
    </w:p>
    <w:p>
      <w:pPr>
        <w:pStyle w:val="Heading1"/>
        <w:rPr/>
      </w:pPr>
      <w:r>
        <w:rPr/>
        <w:t>Sources and verification notes</w:t>
      </w:r>
    </w:p>
    <w:p>
      <w:pPr>
        <w:pStyle w:val="Normal"/>
        <w:rPr/>
      </w:pPr>
      <w:r>
        <w:rPr/>
        <w:t>S</w:t>
      </w:r>
      <w:r>
        <w:rPr>
          <w:sz w:val="20"/>
          <w:szCs w:val="20"/>
        </w:rPr>
        <w:t>ources: Vietnam National Statistics Office, May 2026 socio economic report; USDA FAS, Livestock and Poultry World Markets and Trade; Government Decree 13/2020/ND-CP (as amended); Vietnam Government Portal guidance on land rights of foreign invested enterprises, 1 September 2026. Verify applicability to the actual site. All project quantities, prices and budgets above are preliminary proposal assumptions.</w:t>
      </w:r>
    </w:p>
    <w:p>
      <w:pPr>
        <w:pStyle w:val="Title"/>
        <w:rPr/>
      </w:pPr>
      <w:r>
        <w:rPr/>
        <w:t>Dự án trang trại chăn nuôi tích hợp Long An</w:t>
      </w:r>
    </w:p>
    <w:p>
      <w:pPr>
        <w:pStyle w:val="Normal"/>
        <w:jc w:val="center"/>
        <w:rPr>
          <w:sz w:val="20"/>
          <w:szCs w:val="20"/>
        </w:rPr>
      </w:pPr>
      <w:r>
        <w:rPr>
          <w:sz w:val="20"/>
          <w:szCs w:val="20"/>
        </w:rPr>
        <w:t>Hồ sơ đầu tư sơ bộ song ngữ  |  10 ha  |  Tổng vốn tiền mặt dự kiến 10 triệu USD  |  28 tháng 9 năm 2026</w:t>
      </w:r>
    </w:p>
    <w:p>
      <w:pPr>
        <w:pStyle w:val="Heading1"/>
        <w:rPr/>
      </w:pPr>
      <w:r>
        <w:rPr/>
        <w:t>Tóm tắt điều hành</w:t>
      </w:r>
    </w:p>
    <w:p>
      <w:pPr>
        <w:pStyle w:val="Normal"/>
        <w:rPr>
          <w:sz w:val="20"/>
          <w:szCs w:val="20"/>
        </w:rPr>
      </w:pPr>
      <w:r>
        <w:rPr>
          <w:sz w:val="20"/>
          <w:szCs w:val="20"/>
        </w:rPr>
        <w:t>Đề xuất thành lập công ty dự án để phát triển trang trại heo giống và heo thịt khép kín trên khu đất 10 ha tại Long An. Bên Việt Nam đề xuất góp quyền sử dụng đất hoặc quyền khai thác đất hợp lệ để nhận 20% cổ phần; nhà đầu tư tài trợ toàn bộ 10 triệu USD vốn tiền mặt và nhận 80%. Đây là đề xuất thương mại có điều kiện: giá trị phần đất phải được thẩm định độc lập, quyền góp vốn phải được luật sư xác nhận và cơ cấu cổ phần phải được ghi rõ trong hợp đồng cổ đông.</w:t>
      </w:r>
    </w:p>
    <w:p>
      <w:pPr>
        <w:pStyle w:val="Normal"/>
        <w:rPr>
          <w:sz w:val="20"/>
          <w:szCs w:val="20"/>
        </w:rPr>
      </w:pPr>
      <w:r>
        <w:rPr>
          <w:sz w:val="20"/>
          <w:szCs w:val="20"/>
        </w:rPr>
        <w:t>Kịch bản kỹ thuật tham chiếu là 900 nái sinh sản, tối đa khoảng 18.900 heo thịt bán ra mỗi năm khi vận hành ổn định; chuồng kín, kiểm soát dịch bệnh theo khu, xử lý chất thải và hợp đồng mua thức ăn/bao tiêu. Với giả định 110 kg/con và 2,75 USD/kg heo hơi, doanh thu heo thịt khoảng 5,72 triệu USD/năm. EBITDA tham chiếu 1,30 triệu USD/năm, tương đương 22,8% doanh thu; hoàn vốn đơn giản khoảng 7,7 năm trên 10 triệu USD tiền mặt, trước thuế, lãi vay và giá trị cuối kỳ. Đây là mô hình sàng lọc, chưa phải nghiên cứu khả thi có thể dùng để quyết định giải ngân.</w:t>
      </w:r>
    </w:p>
    <w:p>
      <w:pPr>
        <w:pStyle w:val="Normal"/>
        <w:rPr>
          <w:sz w:val="20"/>
          <w:szCs w:val="20"/>
        </w:rPr>
      </w:pPr>
      <w:r>
        <w:rPr>
          <w:sz w:val="20"/>
          <w:szCs w:val="20"/>
        </w:rPr>
        <w:t>Khuyến nghị: tiếp tục thẩm định theo từng cổng quyết định. Không cam kết vốn xây dựng trước khi có xác nhận quy hoạch và khoảng cách an toàn, hồ sơ quyền sử dụng đất, phương án môi trường, báo giá EPC, nguồn giống, hợp đồng tiêu thụ và mô hình tài chính chi tiết. Nếu quỹ đất không đáp ứng yêu cầu môi trường hoặc sinh học, cân nhắc mô hình gia cầm/đối tác chăn nuôi vệ tinh thay cho heo.</w:t>
      </w:r>
    </w:p>
    <w:tbl>
      <w:tblPr>
        <w:tblStyle w:val="TableGrid"/>
        <w:tblW w:w="9996"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368"/>
        <w:gridCol w:w="3780"/>
        <w:gridCol w:w="4848"/>
      </w:tblGrid>
      <w:tr>
        <w:trPr/>
        <w:tc>
          <w:tcPr>
            <w:tcW w:w="1368"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Chỉ tiêu</w:t>
            </w:r>
          </w:p>
        </w:tc>
        <w:tc>
          <w:tcPr>
            <w:tcW w:w="3780"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Đề xuất cơ sở</w:t>
            </w:r>
          </w:p>
        </w:tc>
        <w:tc>
          <w:tcPr>
            <w:tcW w:w="4848"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Điều kiện xác minh</w:t>
            </w:r>
          </w:p>
        </w:tc>
      </w:tr>
      <w:tr>
        <w:trPr/>
        <w:tc>
          <w:tcPr>
            <w:tcW w:w="136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Quỹ đất</w:t>
            </w:r>
          </w:p>
        </w:tc>
        <w:tc>
          <w:tcPr>
            <w:tcW w:w="3780"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10 ha tại Long An</w:t>
            </w:r>
          </w:p>
        </w:tc>
        <w:tc>
          <w:tcPr>
            <w:tcW w:w="484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Ranh giới, giấy chứng nhận, mục đích sử dụng, thời hạn, lối vào và ngập lụt</w:t>
            </w:r>
          </w:p>
        </w:tc>
      </w:tr>
      <w:tr>
        <w:trPr/>
        <w:tc>
          <w:tcPr>
            <w:tcW w:w="136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Cơ cấu</w:t>
            </w:r>
          </w:p>
        </w:tc>
        <w:tc>
          <w:tcPr>
            <w:tcW w:w="3780"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Việt Nam 20% / nhà đầu tư 80%</w:t>
            </w:r>
          </w:p>
        </w:tc>
        <w:tc>
          <w:tcPr>
            <w:tcW w:w="484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Thẩm định đất, pháp lý góp vốn, quyền phủ quyết và chống pha loãng</w:t>
            </w:r>
          </w:p>
        </w:tc>
      </w:tr>
      <w:tr>
        <w:trPr>
          <w:trHeight w:val="507" w:hRule="atLeast"/>
        </w:trPr>
        <w:tc>
          <w:tcPr>
            <w:tcW w:w="136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Vốn tiền mặt</w:t>
            </w:r>
          </w:p>
        </w:tc>
        <w:tc>
          <w:tcPr>
            <w:tcW w:w="3780"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10,0 triệu USD từ nhà đầu tư</w:t>
            </w:r>
          </w:p>
        </w:tc>
        <w:tc>
          <w:tcPr>
            <w:tcW w:w="484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Giải ngân theo mốc kỹ thuật; dự phòng đủ cho chi phí tăng</w:t>
            </w:r>
          </w:p>
        </w:tc>
      </w:tr>
      <w:tr>
        <w:trPr/>
        <w:tc>
          <w:tcPr>
            <w:tcW w:w="136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Đầu ra</w:t>
            </w:r>
          </w:p>
        </w:tc>
        <w:tc>
          <w:tcPr>
            <w:tcW w:w="3780"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Heo hơi; phân hữu cơ/biogas là cơ hội phụ</w:t>
            </w:r>
          </w:p>
        </w:tc>
        <w:tc>
          <w:tcPr>
            <w:tcW w:w="484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Chỉ ghi nhận doanh thu phụ khi có thử nghiệm và hợp đồng</w:t>
            </w:r>
          </w:p>
        </w:tc>
      </w:tr>
    </w:tbl>
    <w:p>
      <w:pPr>
        <w:pStyle w:val="Normal"/>
        <w:rPr/>
      </w:pPr>
      <w:r>
        <w:rPr/>
      </w:r>
    </w:p>
    <w:p>
      <w:pPr>
        <w:pStyle w:val="Heading1"/>
        <w:rPr/>
      </w:pPr>
      <w:r>
        <w:rPr/>
        <w:t>Phạm vi và thiết kế đề xuất</w:t>
      </w:r>
    </w:p>
    <w:p>
      <w:pPr>
        <w:pStyle w:val="Normal"/>
        <w:rPr>
          <w:sz w:val="20"/>
          <w:szCs w:val="20"/>
        </w:rPr>
      </w:pPr>
      <w:r>
        <w:rPr>
          <w:sz w:val="20"/>
          <w:szCs w:val="20"/>
        </w:rPr>
        <w:t>Bố trí sơ bộ: 3,0 ha khu heo nái và hậu bị; 2,5 ha khu cai sữa và heo thịt; 1,0 ha cách ly, thú y, kho và thức ăn; 1,2 ha hệ xử lý nước thải, biogas, phân và vùng đệm; 1,0 ha đường nội bộ, xuất nhập hàng tách luồng; 1,3 ha cây xanh và dự phòng. Các diện tích này chỉ là sơ đồ giả định, phải chỉnh theo địa hình, khoảng cách bắt buộc, hướng gió, nguồn nước và công suất hệ thống.</w:t>
      </w:r>
    </w:p>
    <w:p>
      <w:pPr>
        <w:pStyle w:val="Normal"/>
        <w:rPr>
          <w:sz w:val="20"/>
          <w:szCs w:val="20"/>
        </w:rPr>
      </w:pPr>
      <w:r>
        <w:rPr>
          <w:sz w:val="20"/>
          <w:szCs w:val="20"/>
        </w:rPr>
        <w:t>Dòng vật nuôi: nhập giống có kiểm dịch → hậu bị/cách ly → phối giống và mang thai → đẻ → cai sữa → nuôi thịt → xuất bán. Hạn chế người/xe vào trại, tắm và thay đồ, phân luồng sạch bẩn, giám sát nước uống, thức ăn, nhiệt độ, chết loại và an toàn điện. Không đề xuất lò mổ trong giai đoạn 1: pháp lý, đầu tư và thị trường của khâu giết mổ cần nghiên cứu riêng.</w:t>
      </w:r>
    </w:p>
    <w:p>
      <w:pPr>
        <w:pStyle w:val="Heading1"/>
        <w:rPr/>
      </w:pPr>
      <w:r>
        <w:rPr/>
        <w:t>Nhu cầu vốn và tiến độ</w:t>
      </w:r>
    </w:p>
    <w:tbl>
      <w:tblPr>
        <w:tblStyle w:val="TableGrid"/>
        <w:tblW w:w="4692"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528"/>
        <w:gridCol w:w="1164"/>
      </w:tblGrid>
      <w:tr>
        <w:trPr/>
        <w:tc>
          <w:tcPr>
            <w:tcW w:w="3528"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Hạng mục</w:t>
            </w:r>
          </w:p>
        </w:tc>
        <w:tc>
          <w:tcPr>
            <w:tcW w:w="1164" w:type="dxa"/>
            <w:tcBorders/>
            <w:shd w:fill="18344A" w:val="clear"/>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b/>
                <w:color w:val="FFFFFF"/>
                <w:kern w:val="0"/>
                <w:sz w:val="20"/>
                <w:szCs w:val="20"/>
                <w:lang w:val="en-US" w:eastAsia="en-US" w:bidi="ar-SA"/>
              </w:rPr>
              <w:t>Triệu USD</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San nền, giao thông, hàng rào và hạ tầng</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1,20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Chuồng trại, cơ điện, tự động hóa</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4,00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Giống nền và khởi tạo đàn</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0,70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Xử lý môi trường, biogas và nước</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1,00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Thiết kế, pháp lý, quản lý dự án</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0,40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Vốn lưu động giai đoạn tăng đàn</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1,50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Dự phòng xây dựng và trượt giá</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1,20</w:t>
            </w:r>
          </w:p>
        </w:tc>
      </w:tr>
      <w:tr>
        <w:trPr/>
        <w:tc>
          <w:tcPr>
            <w:tcW w:w="352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Tổng tiền mặt</w:t>
            </w:r>
          </w:p>
        </w:tc>
        <w:tc>
          <w:tcPr>
            <w:tcW w:w="1164" w:type="dxa"/>
            <w:tcBorders/>
            <w:vAlign w:val="center"/>
          </w:tcPr>
          <w:p>
            <w:pPr>
              <w:pStyle w:val="Normal"/>
              <w:widowControl/>
              <w:spacing w:lineRule="auto" w:line="240" w:before="0" w:after="40"/>
              <w:jc w:val="end"/>
              <w:rPr>
                <w:rFonts w:eastAsia="ＭＳ 明朝" w:cs=""/>
                <w:kern w:val="0"/>
                <w:sz w:val="20"/>
                <w:szCs w:val="20"/>
                <w:lang w:val="en-US" w:eastAsia="en-US" w:bidi="ar-SA"/>
              </w:rPr>
            </w:pPr>
            <w:r>
              <w:rPr>
                <w:rFonts w:eastAsia="ＭＳ 明朝" w:cs=""/>
                <w:kern w:val="0"/>
                <w:sz w:val="20"/>
                <w:szCs w:val="20"/>
                <w:lang w:val="en-US" w:eastAsia="en-US" w:bidi="ar-SA"/>
              </w:rPr>
              <w:t>10,00</w:t>
            </w:r>
          </w:p>
        </w:tc>
      </w:tr>
    </w:tbl>
    <w:p>
      <w:pPr>
        <w:pStyle w:val="Normal"/>
        <w:rPr/>
      </w:pPr>
      <w:r>
        <w:rPr/>
      </w:r>
    </w:p>
    <w:p>
      <w:pPr>
        <w:pStyle w:val="Normal"/>
        <w:rPr>
          <w:sz w:val="20"/>
          <w:szCs w:val="20"/>
        </w:rPr>
      </w:pPr>
      <w:r>
        <w:rPr>
          <w:sz w:val="20"/>
          <w:szCs w:val="20"/>
        </w:rPr>
        <w:t>Mốc giả định: tháng 0–3 khảo sát và thẩm định đất, thị trường, pháp lý; tháng 4–6 thiết kế cơ sở, hồ sơ môi trường và lựa chọn nhà thầu; tháng 7–18 thi công theo phân kỳ; tháng 19–24 nhập giống và vận hành thử; tháng 25–36 tăng đàn. Tiến độ chỉ bắt đầu tính sau khi quyền sử dụng đất và thủ tục đầu tư được xác định.</w:t>
      </w:r>
    </w:p>
    <w:p>
      <w:pPr>
        <w:pStyle w:val="Heading1"/>
        <w:rPr/>
      </w:pPr>
      <w:r>
        <w:rPr/>
        <w:t>Mô hình tài chính minh họa</w:t>
      </w:r>
    </w:p>
    <w:p>
      <w:pPr>
        <w:pStyle w:val="Normal"/>
        <w:rPr>
          <w:sz w:val="20"/>
          <w:szCs w:val="20"/>
        </w:rPr>
      </w:pPr>
      <w:r>
        <w:rPr>
          <w:sz w:val="20"/>
          <w:szCs w:val="20"/>
        </w:rPr>
        <w:t>Giả định tại công suất ổn định: 900 nái × 21 con heo thịt bán ra/nái/năm = 18.900 con; trọng lượng xuất chuồng 110 kg; giá 2,75 USD/kg; doanh thu heo 5,717 triệu USD. EBITDA cơ sở 1,300 triệu USD sau chi phí thức ăn, giống, nhân công, thú y, năng lượng, vận hành và quản lý khoảng 4,417 triệu USD. Chưa tính doanh thu phụ, thuế thu nhập, khấu hao, lãi vay và bảo trì thay thế lớn. Giá, năng suất, chi phí là giả định nội bộ để thử độ nhạy, không phải báo giá thị trường được xác nhận.</w:t>
      </w:r>
    </w:p>
    <w:tbl>
      <w:tblPr>
        <w:tblStyle w:val="TableGrid"/>
        <w:tblW w:w="846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1344"/>
        <w:gridCol w:w="1440"/>
        <w:gridCol w:w="1440"/>
        <w:gridCol w:w="1896"/>
        <w:gridCol w:w="2340"/>
      </w:tblGrid>
      <w:tr>
        <w:trPr/>
        <w:tc>
          <w:tcPr>
            <w:tcW w:w="1344"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Kịch bản</w:t>
            </w:r>
          </w:p>
        </w:tc>
        <w:tc>
          <w:tcPr>
            <w:tcW w:w="1440"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Giá USD/kg</w:t>
            </w:r>
          </w:p>
        </w:tc>
        <w:tc>
          <w:tcPr>
            <w:tcW w:w="1440"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Con bán/năm</w:t>
            </w:r>
          </w:p>
        </w:tc>
        <w:tc>
          <w:tcPr>
            <w:tcW w:w="1896"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Doanh thu triệu USD</w:t>
            </w:r>
          </w:p>
        </w:tc>
        <w:tc>
          <w:tcPr>
            <w:tcW w:w="2340" w:type="dxa"/>
            <w:tcBorders/>
            <w:shd w:fill="18344A" w:val="clear"/>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b/>
                <w:color w:val="FFFFFF"/>
                <w:kern w:val="0"/>
                <w:sz w:val="20"/>
                <w:szCs w:val="20"/>
                <w:lang w:val="en-US" w:eastAsia="en-US" w:bidi="ar-SA"/>
              </w:rPr>
              <w:t>EBITDA minh họa triệu USD</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Thận trọng</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2,35</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17.000</w:t>
            </w:r>
          </w:p>
        </w:tc>
        <w:tc>
          <w:tcPr>
            <w:tcW w:w="189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4,395</w:t>
            </w:r>
          </w:p>
        </w:tc>
        <w:tc>
          <w:tcPr>
            <w:tcW w:w="23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w:t>
            </w:r>
            <w:r>
              <w:rPr>
                <w:rFonts w:eastAsia="ＭＳ 明朝" w:cs=""/>
                <w:kern w:val="0"/>
                <w:sz w:val="20"/>
                <w:szCs w:val="20"/>
                <w:lang w:val="en-US" w:eastAsia="en-US" w:bidi="ar-SA"/>
              </w:rPr>
              <w:t>0,022</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Cơ sở</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2,75</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18.900</w:t>
            </w:r>
          </w:p>
        </w:tc>
        <w:tc>
          <w:tcPr>
            <w:tcW w:w="189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5,717</w:t>
            </w:r>
          </w:p>
        </w:tc>
        <w:tc>
          <w:tcPr>
            <w:tcW w:w="23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1,300</w:t>
            </w:r>
          </w:p>
        </w:tc>
      </w:tr>
      <w:tr>
        <w:trPr/>
        <w:tc>
          <w:tcPr>
            <w:tcW w:w="1344"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Tích cực</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3,05</w:t>
            </w:r>
          </w:p>
        </w:tc>
        <w:tc>
          <w:tcPr>
            <w:tcW w:w="14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20.000</w:t>
            </w:r>
          </w:p>
        </w:tc>
        <w:tc>
          <w:tcPr>
            <w:tcW w:w="1896"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6,710</w:t>
            </w:r>
          </w:p>
        </w:tc>
        <w:tc>
          <w:tcPr>
            <w:tcW w:w="2340" w:type="dxa"/>
            <w:tcBorders/>
            <w:vAlign w:val="center"/>
          </w:tcPr>
          <w:p>
            <w:pPr>
              <w:pStyle w:val="Normal"/>
              <w:widowControl/>
              <w:spacing w:lineRule="auto" w:line="240" w:before="0" w:after="40"/>
              <w:jc w:val="center"/>
              <w:rPr>
                <w:rFonts w:eastAsia="ＭＳ 明朝" w:cs=""/>
                <w:kern w:val="0"/>
                <w:sz w:val="20"/>
                <w:szCs w:val="20"/>
                <w:lang w:val="en-US" w:eastAsia="en-US" w:bidi="ar-SA"/>
              </w:rPr>
            </w:pPr>
            <w:r>
              <w:rPr>
                <w:rFonts w:eastAsia="ＭＳ 明朝" w:cs=""/>
                <w:kern w:val="0"/>
                <w:sz w:val="20"/>
                <w:szCs w:val="20"/>
                <w:lang w:val="en-US" w:eastAsia="en-US" w:bidi="ar-SA"/>
              </w:rPr>
              <w:t>2,293</w:t>
            </w:r>
          </w:p>
        </w:tc>
      </w:tr>
    </w:tbl>
    <w:p>
      <w:pPr>
        <w:pStyle w:val="Normal"/>
        <w:rPr/>
      </w:pPr>
      <w:r>
        <w:rPr/>
      </w:r>
    </w:p>
    <w:p>
      <w:pPr>
        <w:pStyle w:val="Normal"/>
        <w:rPr>
          <w:sz w:val="20"/>
          <w:szCs w:val="20"/>
        </w:rPr>
      </w:pPr>
      <w:r>
        <w:rPr>
          <w:sz w:val="20"/>
          <w:szCs w:val="20"/>
        </w:rPr>
        <w:t>Độ nhạy giữ nguyên tổng chi phí cơ sở 4,417 triệu USD chỉ nhằm cô lập tác động giá và sản lượng; thực tế chi phí biến đổi theo số con và giá thức ăn. Giá hòa vốn EBITDA đơn giản ở công suất cơ sở xấp xỉ 2,12 USD/kg (4,417 triệu / 2,079 triệu kg). Một thay đổi 0,10 USD/kg làm EBITDA thay đổi khoảng 208 nghìn USD/năm nếu sản lượng không đổi. EBITDA không đồng nghĩa dòng tiền cho cổ đông; IRR và NPV chưa được công bố khi thiếu lịch giải ngân, thuế, vòng đời tài sản và giá trị thoái vốn.</w:t>
      </w:r>
    </w:p>
    <w:p>
      <w:pPr>
        <w:pStyle w:val="Heading1"/>
        <w:rPr/>
      </w:pPr>
      <w:r>
        <w:rPr/>
        <w:t>Cấu trúc giao dịch và bảo vệ nhà đầu tư</w:t>
      </w:r>
    </w:p>
    <w:p>
      <w:pPr>
        <w:pStyle w:val="Normal"/>
        <w:rPr>
          <w:sz w:val="20"/>
          <w:szCs w:val="20"/>
        </w:rPr>
      </w:pPr>
      <w:r>
        <w:rPr>
          <w:sz w:val="20"/>
          <w:szCs w:val="20"/>
        </w:rPr>
        <w:t>Công ty dự án tại Việt Nam sở hữu tài sản xây dựng và ký hợp đồng vận hành. Bên Việt Nam đóng góp quyền sử dụng đất khi pháp luật, hồ sơ và cơ quan có thẩm quyền cho phép; nếu không thể góp trực tiếp, luật sư đề xuất cấu trúc thuê đất hợp lệ nhưng phải thương lượng lại kinh tế của tỷ lệ 20%. Không suy diễn rằng 10 ha tự động tương đương 2,5 triệu USD: tỷ lệ 20/80 và 10 triệu USD tiền mặt hàm ý định giá trước vốn 2,5 triệu USD và sau vốn 12,5 triệu USD nếu hai bên coi đất là toàn bộ phần vốn tương ứng. Định giá và thuế phải được xác nhận độc lập.</w:t>
      </w:r>
    </w:p>
    <w:p>
      <w:pPr>
        <w:pStyle w:val="Normal"/>
        <w:rPr>
          <w:sz w:val="20"/>
          <w:szCs w:val="20"/>
        </w:rPr>
      </w:pPr>
      <w:r>
        <w:rPr>
          <w:sz w:val="20"/>
          <w:szCs w:val="20"/>
        </w:rPr>
        <w:t>Đề xuất hội đồng 5 ghế: nhà đầu tư 4, bên Việt Nam 1; ngân sách, nợ, giao dịch bên liên quan, bán tài sản, thay đổi ngành nghề và phát hành thêm cổ phần là vấn đề cần cơ chế đồng thuận rõ ràng. Vốn 10 triệu USD giải ngân theo mốc pháp lý, hoàn thành hạ tầng, nghiệm thu chuồng và số liệu chạy thử. Báo cáo tháng về FCR, tỷ lệ sống, heo con cai sữa/nái, giá bán, chi phí/kg, nước thải và tiền mặt. Chính sách cổ tức sau quỹ dự phòng dịch bệnh và bảo trì.</w:t>
      </w:r>
    </w:p>
    <w:p>
      <w:pPr>
        <w:pStyle w:val="Heading1"/>
        <w:rPr/>
      </w:pPr>
      <w:r>
        <w:rPr/>
        <w:t>Đánh giá khả thi và rủi ro chính</w:t>
      </w:r>
    </w:p>
    <w:tbl>
      <w:tblPr>
        <w:tblStyle w:val="TableGrid"/>
        <w:tblW w:w="9996"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088"/>
        <w:gridCol w:w="2316"/>
        <w:gridCol w:w="5592"/>
      </w:tblGrid>
      <w:tr>
        <w:trPr/>
        <w:tc>
          <w:tcPr>
            <w:tcW w:w="2088"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Vấn đề</w:t>
            </w:r>
          </w:p>
        </w:tc>
        <w:tc>
          <w:tcPr>
            <w:tcW w:w="2316"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Đánh giá sơ bộ</w:t>
            </w:r>
          </w:p>
        </w:tc>
        <w:tc>
          <w:tcPr>
            <w:tcW w:w="5592" w:type="dxa"/>
            <w:tcBorders/>
            <w:shd w:fill="18344A" w:val="clear"/>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b/>
                <w:color w:val="FFFFFF"/>
                <w:kern w:val="0"/>
                <w:sz w:val="20"/>
                <w:szCs w:val="20"/>
                <w:lang w:val="en-US" w:eastAsia="en-US" w:bidi="ar-SA"/>
              </w:rPr>
              <w:t>Điều kiện vượt qua</w:t>
            </w:r>
          </w:p>
        </w:tc>
      </w:tr>
      <w:tr>
        <w:trPr/>
        <w:tc>
          <w:tcPr>
            <w:tcW w:w="208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Đất và quy hoạch</w:t>
            </w:r>
          </w:p>
        </w:tc>
        <w:tc>
          <w:tcPr>
            <w:tcW w:w="2316"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Rủi ro cao trước khảo sát</w:t>
            </w:r>
          </w:p>
        </w:tc>
        <w:tc>
          <w:tcPr>
            <w:tcW w:w="55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Xác nhận mục đích đất, địa giới, khoảng cách, ngập và khả năng cấp phép</w:t>
            </w:r>
          </w:p>
        </w:tc>
      </w:tr>
      <w:tr>
        <w:trPr/>
        <w:tc>
          <w:tcPr>
            <w:tcW w:w="208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Dịch bệnh</w:t>
            </w:r>
          </w:p>
        </w:tc>
        <w:tc>
          <w:tcPr>
            <w:tcW w:w="2316"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Rủi ro cao</w:t>
            </w:r>
          </w:p>
        </w:tc>
        <w:tc>
          <w:tcPr>
            <w:tcW w:w="55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Thiết kế vùng cách ly, nguồn giống, kiểm soát người xe và phương án ứng phó</w:t>
            </w:r>
          </w:p>
        </w:tc>
      </w:tr>
      <w:tr>
        <w:trPr/>
        <w:tc>
          <w:tcPr>
            <w:tcW w:w="208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Giá heo và thức ăn</w:t>
            </w:r>
          </w:p>
        </w:tc>
        <w:tc>
          <w:tcPr>
            <w:tcW w:w="2316"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Rủi ro cao</w:t>
            </w:r>
          </w:p>
        </w:tc>
        <w:tc>
          <w:tcPr>
            <w:tcW w:w="55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Hợp đồng đầu ra, chào giá thức ăn, thử độ nhạy và dự trữ tiền mặt</w:t>
            </w:r>
          </w:p>
        </w:tc>
      </w:tr>
      <w:tr>
        <w:trPr/>
        <w:tc>
          <w:tcPr>
            <w:tcW w:w="208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Xây dựng và môi trường</w:t>
            </w:r>
          </w:p>
        </w:tc>
        <w:tc>
          <w:tcPr>
            <w:tcW w:w="2316"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Rủi ro trung bình đến cao</w:t>
            </w:r>
          </w:p>
        </w:tc>
        <w:tc>
          <w:tcPr>
            <w:tcW w:w="55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EPC có hiệu năng, đánh giá tác động, hệ xử lý được kiểm nghiệm</w:t>
            </w:r>
          </w:p>
        </w:tc>
      </w:tr>
      <w:tr>
        <w:trPr/>
        <w:tc>
          <w:tcPr>
            <w:tcW w:w="2088"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Tài chính</w:t>
            </w:r>
          </w:p>
        </w:tc>
        <w:tc>
          <w:tcPr>
            <w:tcW w:w="2316"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Có điều kiện</w:t>
            </w:r>
          </w:p>
        </w:tc>
        <w:tc>
          <w:tcPr>
            <w:tcW w:w="5592" w:type="dxa"/>
            <w:tcBorders/>
            <w:vAlign w:val="center"/>
          </w:tcPr>
          <w:p>
            <w:pPr>
              <w:pStyle w:val="Normal"/>
              <w:widowControl/>
              <w:spacing w:lineRule="auto" w:line="240" w:before="0" w:after="40"/>
              <w:jc w:val="start"/>
              <w:rPr>
                <w:rFonts w:eastAsia="ＭＳ 明朝" w:cs=""/>
                <w:kern w:val="0"/>
                <w:sz w:val="20"/>
                <w:szCs w:val="20"/>
                <w:lang w:val="en-US" w:eastAsia="en-US" w:bidi="ar-SA"/>
              </w:rPr>
            </w:pPr>
            <w:r>
              <w:rPr>
                <w:rFonts w:eastAsia="ＭＳ 明朝" w:cs=""/>
                <w:kern w:val="0"/>
                <w:sz w:val="20"/>
                <w:szCs w:val="20"/>
                <w:lang w:val="en-US" w:eastAsia="en-US" w:bidi="ar-SA"/>
              </w:rPr>
              <w:t>Báo giá độc lập, mô hình 10 năm, DSCR nếu vay và IRR sau thuế</w:t>
            </w:r>
          </w:p>
        </w:tc>
      </w:tr>
    </w:tbl>
    <w:p>
      <w:pPr>
        <w:pStyle w:val="Normal"/>
        <w:rPr/>
      </w:pPr>
      <w:r>
        <w:rPr/>
      </w:r>
    </w:p>
    <w:p>
      <w:pPr>
        <w:pStyle w:val="Normal"/>
        <w:rPr>
          <w:sz w:val="20"/>
          <w:szCs w:val="20"/>
        </w:rPr>
      </w:pPr>
      <w:r>
        <w:rPr>
          <w:sz w:val="20"/>
          <w:szCs w:val="20"/>
        </w:rPr>
        <w:t>Kết luận: Có thể nghiên cứu đầu tư, nhưng chưa đủ cơ sở tuyên bố khả thi tài chính hoặc pháp lý. Mức EBITDA tham chiếu tương đối mỏng so với rủi ro giá và dịch bệnh; cần ưu tiên chứng minh địa điểm, năng suất và đầu ra trước khi chốt thiết kế. Ngưỡng đề xuất để trình ủy ban đầu tư: hợp đồng đầu ra có công thức giá, báo giá EPC và giống ràng buộc, dự phòng tiền mặt, ý kiến pháp lý đất/đầu tư, báo cáo môi trường và IRR sau thuế vượt tỷ suất yêu cầu do nhà đầu tư đặt.</w:t>
      </w:r>
    </w:p>
    <w:p>
      <w:pPr>
        <w:pStyle w:val="Heading1"/>
        <w:rPr/>
      </w:pPr>
      <w:r>
        <w:rPr/>
        <w:t>Lời mời nhà đầu tư</w:t>
      </w:r>
    </w:p>
    <w:p>
      <w:pPr>
        <w:pStyle w:val="Normal"/>
        <w:rPr>
          <w:sz w:val="20"/>
          <w:szCs w:val="20"/>
        </w:rPr>
      </w:pPr>
      <w:r>
        <w:rPr>
          <w:sz w:val="20"/>
          <w:szCs w:val="20"/>
        </w:rPr>
        <w:t>Chúng tôi mời đối tác có năng lực tài chính và kinh nghiệm chăn nuôi tham gia đầu tư 10 triệu USD theo cấu trúc đề xuất 80% vốn cổ phần. Bên Việt Nam đưa vào dự án quỹ đất 10 ha và hỗ trợ phát triển địa phương. Trong 60–90 ngày thẩm định độc quyền có điều kiện, hai bên có thể kiểm tra giấy tờ đất, khảo sát địa điểm, lập thiết kế sơ bộ và thống nhất term sheet; quyết định đầu tư chỉ được đưa ra sau khi các điều kiện tiên quyết được đáp ứng.</w:t>
      </w:r>
    </w:p>
    <w:p>
      <w:pPr>
        <w:pStyle w:val="Normal"/>
        <w:spacing w:before="0" w:after="100"/>
        <w:rPr/>
      </w:pPr>
      <w:r>
        <w:rPr/>
      </w:r>
    </w:p>
    <w:sectPr>
      <w:footerReference w:type="even" r:id="rId2"/>
      <w:footerReference w:type="default" r:id="rId3"/>
      <w:footerReference w:type="first" r:id="rId4"/>
      <w:type w:val="nextPage"/>
      <w:pgSz w:w="12240" w:h="15840"/>
      <w:pgMar w:left="1123" w:right="593" w:gutter="0" w:header="0" w:top="1008" w:footer="720" w:bottom="93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Aptos">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SFT Alliance  |  Confidential discussion draft</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SFT Alliance  |  Confidential discussion draft</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100"/>
      <w:jc w:val="start"/>
    </w:pPr>
    <w:rPr>
      <w:rFonts w:ascii="Aptos" w:hAnsi="Aptos" w:eastAsia="ＭＳ 明朝" w:cs="" w:cstheme="minorBidi" w:eastAsiaTheme="minorEastAsia"/>
      <w:color w:val="auto"/>
      <w:kern w:val="0"/>
      <w:sz w:val="18"/>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240" w:after="100"/>
      <w:outlineLvl w:val="0"/>
    </w:pPr>
    <w:rPr>
      <w:rFonts w:ascii="Calibri" w:hAnsi="Calibri" w:eastAsia="ＭＳ ゴシック" w:cs="" w:asciiTheme="majorHAnsi" w:cstheme="majorBidi" w:eastAsiaTheme="majorEastAsia" w:hAnsiTheme="majorHAnsi"/>
      <w:b/>
      <w:bCs/>
      <w:color w:val="000000"/>
      <w:sz w:val="26"/>
      <w:szCs w:val="28"/>
    </w:rPr>
  </w:style>
  <w:style w:type="paragraph" w:styleId="Heading2">
    <w:name w:val="heading 2"/>
    <w:basedOn w:val="Normal"/>
    <w:next w:val="Normal"/>
    <w:link w:val="Heading2Char"/>
    <w:uiPriority w:val="9"/>
    <w:unhideWhenUsed/>
    <w:qFormat/>
    <w:rsid w:val="00fc693f"/>
    <w:pPr>
      <w:keepNext w:val="true"/>
      <w:keepLines/>
      <w:spacing w:before="240" w:after="100"/>
      <w:outlineLvl w:val="1"/>
    </w:pPr>
    <w:rPr>
      <w:rFonts w:ascii="Calibri" w:hAnsi="Calibri" w:eastAsia="ＭＳ ゴシック" w:cs="" w:asciiTheme="majorHAnsi" w:cstheme="majorBidi" w:eastAsiaTheme="majorEastAsia" w:hAnsiTheme="majorHAnsi"/>
      <w:b/>
      <w:bCs/>
      <w:color w:val="000000"/>
      <w:sz w:val="21"/>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1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itle">
    <w:name w:val="Title"/>
    <w:basedOn w:val="Normal"/>
    <w:next w:val="Normal"/>
    <w:link w:val="TitleChar"/>
    <w:uiPriority w:val="10"/>
    <w:qFormat/>
    <w:rsid w:val="00fc693f"/>
    <w:pPr>
      <w:pBdr>
        <w:bottom w:val="single" w:sz="8" w:space="4" w:color="4F81BD" w:themeColor="accent1"/>
      </w:pBdr>
      <w:spacing w:lineRule="auto" w:line="240" w:before="240" w:after="100"/>
      <w:contextualSpacing/>
    </w:pPr>
    <w:rPr>
      <w:rFonts w:ascii="Calibri" w:hAnsi="Calibri" w:eastAsia="ＭＳ ゴシック" w:cs="" w:asciiTheme="majorHAnsi" w:cstheme="majorBidi" w:eastAsiaTheme="majorEastAsia" w:hAnsiTheme="majorHAnsi"/>
      <w:b/>
      <w:color w:val="000000"/>
      <w:spacing w:val="5"/>
      <w:kern w:val="2"/>
      <w:sz w:val="36"/>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100"/>
      <w:ind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2">
    <w:name w:val="List 2"/>
    <w:basedOn w:val="Normal"/>
    <w:uiPriority w:val="99"/>
    <w:unhideWhenUsed/>
    <w:qFormat/>
    <w:rsid w:val="00326f90"/>
    <w:pPr>
      <w:spacing w:before="0" w:after="100"/>
      <w:ind w:hanging="360" w:start="720"/>
      <w:contextualSpacing/>
    </w:pPr>
    <w:rPr/>
  </w:style>
  <w:style w:type="paragraph" w:styleId="List3">
    <w:name w:val="List 3"/>
    <w:basedOn w:val="Normal"/>
    <w:uiPriority w:val="99"/>
    <w:unhideWhenUsed/>
    <w:qFormat/>
    <w:rsid w:val="00326f90"/>
    <w:pPr>
      <w:spacing w:before="0" w:after="100"/>
      <w:ind w:hanging="360" w:start="1080"/>
      <w:contextualSpacing/>
    </w:pPr>
    <w:rPr/>
  </w:style>
  <w:style w:type="paragraph" w:styleId="ListBullet">
    <w:name w:val="List Bullet"/>
    <w:basedOn w:val="Normal"/>
    <w:uiPriority w:val="99"/>
    <w:unhideWhenUsed/>
    <w:rsid w:val="00326f90"/>
    <w:pPr>
      <w:numPr>
        <w:ilvl w:val="0"/>
        <w:numId w:val="1"/>
      </w:numPr>
      <w:spacing w:before="0" w:after="100"/>
      <w:contextualSpacing/>
    </w:pPr>
    <w:rPr/>
  </w:style>
  <w:style w:type="paragraph" w:styleId="ListBullet2">
    <w:name w:val="List Bullet 2"/>
    <w:basedOn w:val="Normal"/>
    <w:uiPriority w:val="99"/>
    <w:unhideWhenUsed/>
    <w:rsid w:val="00326f90"/>
    <w:pPr>
      <w:numPr>
        <w:ilvl w:val="0"/>
        <w:numId w:val="2"/>
      </w:numPr>
      <w:spacing w:before="0" w:after="100"/>
      <w:contextualSpacing/>
    </w:pPr>
    <w:rPr/>
  </w:style>
  <w:style w:type="paragraph" w:styleId="ListBullet3">
    <w:name w:val="List Bullet 3"/>
    <w:basedOn w:val="Normal"/>
    <w:uiPriority w:val="99"/>
    <w:unhideWhenUsed/>
    <w:rsid w:val="00326f90"/>
    <w:pPr>
      <w:numPr>
        <w:ilvl w:val="0"/>
        <w:numId w:val="3"/>
      </w:numPr>
      <w:spacing w:before="0" w:after="100"/>
      <w:contextualSpacing/>
    </w:pPr>
    <w:rPr/>
  </w:style>
  <w:style w:type="paragraph" w:styleId="ListNumber">
    <w:name w:val="List Number"/>
    <w:basedOn w:val="Normal"/>
    <w:uiPriority w:val="99"/>
    <w:unhideWhenUsed/>
    <w:rsid w:val="00326f90"/>
    <w:pPr>
      <w:numPr>
        <w:ilvl w:val="0"/>
        <w:numId w:val="4"/>
      </w:numPr>
      <w:spacing w:before="0" w:after="100"/>
      <w:contextualSpacing/>
    </w:pPr>
    <w:rPr/>
  </w:style>
  <w:style w:type="paragraph" w:styleId="ListNumber2">
    <w:name w:val="List Number 2"/>
    <w:basedOn w:val="Normal"/>
    <w:uiPriority w:val="99"/>
    <w:unhideWhenUsed/>
    <w:rsid w:val="0029639d"/>
    <w:pPr>
      <w:numPr>
        <w:ilvl w:val="0"/>
        <w:numId w:val="5"/>
      </w:numPr>
      <w:spacing w:before="0" w:after="100"/>
      <w:contextualSpacing/>
    </w:pPr>
    <w:rPr/>
  </w:style>
  <w:style w:type="paragraph" w:styleId="ListNumber3">
    <w:name w:val="List Number 3"/>
    <w:basedOn w:val="Normal"/>
    <w:uiPriority w:val="99"/>
    <w:unhideWhenUsed/>
    <w:rsid w:val="0029639d"/>
    <w:pPr>
      <w:numPr>
        <w:ilvl w:val="0"/>
        <w:numId w:val="6"/>
      </w:numPr>
      <w:spacing w:before="0" w:after="100"/>
      <w:contextualSpacing/>
    </w:pPr>
    <w:rPr/>
  </w:style>
  <w:style w:type="paragraph" w:styleId="ListContinue">
    <w:name w:val="List Continue"/>
    <w:basedOn w:val="Normal"/>
    <w:uiPriority w:val="99"/>
    <w:unhideWhenUsed/>
    <w:rsid w:val="0029639d"/>
    <w:pPr>
      <w:spacing w:before="0" w:after="120"/>
      <w:ind w:start="360"/>
      <w:contextualSpacing/>
    </w:pPr>
    <w:rPr/>
  </w:style>
  <w:style w:type="paragraph" w:styleId="ListContinue2">
    <w:name w:val="List Continue 2"/>
    <w:basedOn w:val="Normal"/>
    <w:uiPriority w:val="99"/>
    <w:unhideWhenUsed/>
    <w:rsid w:val="0029639d"/>
    <w:pPr>
      <w:spacing w:before="0" w:after="120"/>
      <w:ind w:start="720"/>
      <w:contextualSpacing/>
    </w:pPr>
    <w:rPr/>
  </w:style>
  <w:style w:type="paragraph" w:styleId="ListContinue3">
    <w:name w:val="List Continue 3"/>
    <w:basedOn w:val="Normal"/>
    <w:uiPriority w:val="99"/>
    <w:unhideWhenUsed/>
    <w:rsid w:val="0029639d"/>
    <w:pPr>
      <w:spacing w:before="0" w:after="120"/>
      <w:ind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LibreOffice/26.2.6.3$Windows_X86_64 LibreOffice_project/8221e31b3ac356a1623c672912a3d2b492f7e3d1</Application>
  <AppVersion>15.0000</AppVersion>
  <Pages>4</Pages>
  <Words>2561</Words>
  <Characters>11164</Characters>
  <CharactersWithSpaces>13574</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2026-09-28T19:10:29Z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