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b/>
          <w:color w:val="505050"/>
          <w:sz w:val="20"/>
        </w:rPr>
        <w:t>CONFIDENTIAL INVESTMENT TEASER</w:t>
      </w:r>
    </w:p>
    <w:p>
      <w:pPr>
        <w:pStyle w:val="Title"/>
        <w:jc w:val="center"/>
        <w:rPr/>
      </w:pPr>
      <w:r>
        <w:rPr/>
        <w:t>BEN TRE ACTIVATED CARBON PLANT</w:t>
      </w:r>
    </w:p>
    <w:p>
      <w:pPr>
        <w:pStyle w:val="Normal"/>
        <w:jc w:val="center"/>
        <w:rPr/>
      </w:pPr>
      <w:r>
        <w:rPr>
          <w:i/>
          <w:sz w:val="24"/>
        </w:rPr>
        <w:t>Building a premium coconut-shell activated carbon platform in Vietnam</w:t>
      </w:r>
    </w:p>
    <w:tbl>
      <w:tblPr>
        <w:tblW w:w="10368" w:type="dxa"/>
        <w:jc w:val="center"/>
        <w:tblInd w:w="0" w:type="dxa"/>
        <w:tblLayout w:type="fixed"/>
        <w:tblCellMar>
          <w:top w:w="120" w:type="dxa"/>
          <w:start w:w="100" w:type="dxa"/>
          <w:bottom w:w="120" w:type="dxa"/>
          <w:end w:w="100" w:type="dxa"/>
        </w:tblCellMar>
        <w:tblLook w:val="04a0" w:firstRow="1" w:noVBand="1" w:lastRow="0" w:firstColumn="1" w:lastColumn="0" w:noHBand="0"/>
      </w:tblPr>
      <w:tblGrid>
        <w:gridCol w:w="2592"/>
        <w:gridCol w:w="2592"/>
        <w:gridCol w:w="2592"/>
        <w:gridCol w:w="2592"/>
      </w:tblGrid>
      <w:tr>
        <w:trPr/>
        <w:tc>
          <w:tcPr>
            <w:tcW w:w="2592" w:type="dxa"/>
            <w:tcBorders/>
            <w:shd w:fill="17365D" w:val="clea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color w:val="FFFFFF"/>
                <w:sz w:val="30"/>
              </w:rPr>
              <w:t>USD 15M</w:t>
              <w:br/>
            </w:r>
            <w:r>
              <w:rPr>
                <w:color w:val="E1EBF5"/>
                <w:sz w:val="16"/>
              </w:rPr>
              <w:t>Phase 1 Investment</w:t>
            </w:r>
          </w:p>
        </w:tc>
        <w:tc>
          <w:tcPr>
            <w:tcW w:w="2592" w:type="dxa"/>
            <w:tcBorders/>
            <w:shd w:fill="17365D" w:val="clea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color w:val="FFFFFF"/>
                <w:sz w:val="30"/>
              </w:rPr>
              <w:t>10,000 tpa</w:t>
              <w:br/>
            </w:r>
            <w:r>
              <w:rPr>
                <w:color w:val="E1EBF5"/>
                <w:sz w:val="16"/>
              </w:rPr>
              <w:t>Target Full Capacity*</w:t>
            </w:r>
          </w:p>
        </w:tc>
        <w:tc>
          <w:tcPr>
            <w:tcW w:w="2592" w:type="dxa"/>
            <w:tcBorders/>
            <w:shd w:fill="17365D" w:val="clea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color w:val="FFFFFF"/>
                <w:sz w:val="30"/>
              </w:rPr>
              <w:t>30%+</w:t>
              <w:br/>
            </w:r>
            <w:r>
              <w:rPr>
                <w:color w:val="E1EBF5"/>
                <w:sz w:val="16"/>
              </w:rPr>
              <w:t>Target Equity IRR</w:t>
            </w:r>
          </w:p>
        </w:tc>
        <w:tc>
          <w:tcPr>
            <w:tcW w:w="2592" w:type="dxa"/>
            <w:tcBorders/>
            <w:shd w:fill="17365D" w:val="clear"/>
            <w:vAlign w:val="center"/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color w:val="FFFFFF"/>
                <w:sz w:val="30"/>
              </w:rPr>
              <w:t>3.5 yrs</w:t>
              <w:br/>
            </w:r>
            <w:r>
              <w:rPr>
                <w:color w:val="E1EBF5"/>
                <w:sz w:val="16"/>
              </w:rPr>
              <w:t>Target Payback</w:t>
            </w:r>
          </w:p>
        </w:tc>
      </w:tr>
    </w:tbl>
    <w:p>
      <w:pPr>
        <w:pStyle w:val="Normal"/>
        <w:rPr/>
      </w:pPr>
      <w:r>
        <w:rPr/>
      </w:r>
    </w:p>
    <w:p>
      <w:pPr>
        <w:pStyle w:val="Heading1"/>
        <w:rPr/>
      </w:pPr>
      <w:r>
        <w:rPr/>
        <w:t>Investment Snapshot</w:t>
      </w:r>
    </w:p>
    <w:p>
      <w:pPr>
        <w:pStyle w:val="Normal"/>
        <w:rPr/>
      </w:pPr>
      <w:r>
        <w:rPr>
          <w:b/>
        </w:rPr>
        <w:t xml:space="preserve">The opportunity. </w:t>
      </w:r>
      <w:r>
        <w:rPr/>
        <w:t>Develop an export-grade activated carbon facility in Ben Tre, Vietnam, using locally available coconut shell feedstock to serve water treatment, air purification, food &amp; beverage and energy applications across North America, Europe and Asia-Pacific.</w:t>
      </w:r>
    </w:p>
    <w:p>
      <w:pPr>
        <w:pStyle w:val="Normal"/>
        <w:rPr/>
      </w:pPr>
      <w:r>
        <w:rPr>
          <w:b/>
        </w:rPr>
        <w:t xml:space="preserve">Strategic positioning. </w:t>
      </w:r>
      <w:r>
        <w:rPr/>
        <w:t>Ben Tre sits at the center of Vietnam’s coconut-growing ecosystem, supporting long-term feedstock access. The project is designed around steam activation, automated process monitoring, environmental controls and international-quality certification targets.</w:t>
      </w:r>
    </w:p>
    <w:p>
      <w:pPr>
        <w:pStyle w:val="Heading1"/>
        <w:rPr/>
      </w:pPr>
      <w:r>
        <w:rPr/>
        <w:t>Why This Project</w:t>
      </w:r>
    </w:p>
    <w:p>
      <w:pPr>
        <w:pStyle w:val="Normal"/>
        <w:spacing w:before="0" w:after="80"/>
        <w:rPr/>
      </w:pPr>
      <w:r>
        <w:rPr>
          <w:b/>
        </w:rPr>
        <w:t xml:space="preserve">• </w:t>
      </w:r>
      <w:r>
        <w:rPr>
          <w:b/>
        </w:rPr>
        <w:t xml:space="preserve">Growing end-market demand: </w:t>
      </w:r>
      <w:r>
        <w:rPr/>
        <w:t>Source materials cite a USD 4–5 billion global activated carbon market growing at approximately 7–9% CAGR, supported by tighter purification requirements and sustainability trends.</w:t>
      </w:r>
    </w:p>
    <w:p>
      <w:pPr>
        <w:pStyle w:val="Normal"/>
        <w:spacing w:before="0" w:after="80"/>
        <w:rPr/>
      </w:pPr>
      <w:r>
        <w:rPr>
          <w:b/>
        </w:rPr>
        <w:t xml:space="preserve">• </w:t>
      </w:r>
      <w:r>
        <w:rPr>
          <w:b/>
        </w:rPr>
        <w:t xml:space="preserve">Premium feedstock advantage: </w:t>
      </w:r>
      <w:r>
        <w:rPr/>
        <w:t>Coconut-shell carbon is positioned for high-hardness, low-ash filtration applications, while Vietnam offers a competitive sourcing and manufacturing base.</w:t>
      </w:r>
    </w:p>
    <w:p>
      <w:pPr>
        <w:pStyle w:val="Normal"/>
        <w:spacing w:before="0" w:after="80"/>
        <w:rPr/>
      </w:pPr>
      <w:r>
        <w:rPr>
          <w:b/>
        </w:rPr>
        <w:t xml:space="preserve">• </w:t>
      </w:r>
      <w:r>
        <w:rPr>
          <w:b/>
        </w:rPr>
        <w:t xml:space="preserve">Export-oriented platform: </w:t>
      </w:r>
      <w:r>
        <w:rPr/>
        <w:t>Target markets include North America, the EU, Japan, Korea and Australia, with planned ISO, NSF, Halal and REACH-related compliance.</w:t>
      </w:r>
    </w:p>
    <w:p>
      <w:pPr>
        <w:pStyle w:val="Normal"/>
        <w:spacing w:before="0" w:after="80"/>
        <w:rPr/>
      </w:pPr>
      <w:r>
        <w:rPr>
          <w:b/>
        </w:rPr>
        <w:t xml:space="preserve">• </w:t>
      </w:r>
      <w:r>
        <w:rPr>
          <w:b/>
        </w:rPr>
        <w:t xml:space="preserve">Scalable industrial base: </w:t>
      </w:r>
      <w:r>
        <w:rPr/>
        <w:t>Phase 1 is planned at 10,000 tons/year full commercial capacity, with an option to participate in a Phase 2 expansion up to 30,000 tons/year.</w:t>
      </w:r>
    </w:p>
    <w:p>
      <w:pPr>
        <w:pStyle w:val="Heading1"/>
        <w:rPr/>
      </w:pPr>
      <w:r>
        <w:rPr/>
        <w:t>Phase 1 Scope</w:t>
      </w:r>
    </w:p>
    <w:tbl>
      <w:tblPr>
        <w:tblW w:w="10368" w:type="dxa"/>
        <w:jc w:val="center"/>
        <w:tblInd w:w="0" w:type="dxa"/>
        <w:tblLayout w:type="fixed"/>
        <w:tblCellMar>
          <w:top w:w="80" w:type="dxa"/>
          <w:start w:w="100" w:type="dxa"/>
          <w:bottom w:w="80" w:type="dxa"/>
          <w:end w:w="100" w:type="dxa"/>
        </w:tblCellMar>
        <w:tblLook w:val="04a0" w:firstRow="1" w:noVBand="1" w:lastRow="0" w:firstColumn="1" w:lastColumn="0" w:noHBand="0"/>
      </w:tblPr>
      <w:tblGrid>
        <w:gridCol w:w="2424"/>
        <w:gridCol w:w="7944"/>
      </w:tblGrid>
      <w:tr>
        <w:trPr/>
        <w:tc>
          <w:tcPr>
            <w:tcW w:w="242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Core production</w:t>
            </w:r>
          </w:p>
        </w:tc>
        <w:tc>
          <w:tcPr>
            <w:tcW w:w="7944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 w:val="false"/>
              </w:rPr>
              <w:t>Carbonization kilns; rotary/vertical steam activation; washing, drying, sieving and packaging.</w:t>
            </w:r>
          </w:p>
        </w:tc>
      </w:tr>
      <w:tr>
        <w:trPr/>
        <w:tc>
          <w:tcPr>
            <w:tcW w:w="242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Infrastructure</w:t>
            </w:r>
          </w:p>
        </w:tc>
        <w:tc>
          <w:tcPr>
            <w:tcW w:w="7944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 w:val="false"/>
              </w:rPr>
              <w:t>Waste-heat recovery, water treatment, emission control and an international-standard QC laboratory.</w:t>
            </w:r>
          </w:p>
        </w:tc>
      </w:tr>
      <w:tr>
        <w:trPr/>
        <w:tc>
          <w:tcPr>
            <w:tcW w:w="242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Certification targets</w:t>
            </w:r>
          </w:p>
        </w:tc>
        <w:tc>
          <w:tcPr>
            <w:tcW w:w="7944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 w:val="false"/>
              </w:rPr>
              <w:t>ISO 9001 / ISO 14001; NSF / Halal / REACH compliance; GRI-based ESG reporting framework.</w:t>
            </w:r>
          </w:p>
        </w:tc>
      </w:tr>
      <w:tr>
        <w:trPr/>
        <w:tc>
          <w:tcPr>
            <w:tcW w:w="242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Technology</w:t>
            </w:r>
          </w:p>
        </w:tc>
        <w:tc>
          <w:tcPr>
            <w:tcW w:w="7944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 w:val="false"/>
              </w:rPr>
              <w:t>High-efficiency steam activation with automation and process monitoring for consistent export-grade quality.</w:t>
            </w:r>
          </w:p>
        </w:tc>
      </w:tr>
    </w:tbl>
    <w:p>
      <w:pPr>
        <w:pStyle w:val="Heading1"/>
        <w:spacing w:before="0" w:after="0"/>
        <w:rPr/>
      </w:pPr>
      <w:r>
        <w:rPr/>
      </w:r>
    </w:p>
    <w:p>
      <w:pPr>
        <w:pStyle w:val="Heading1"/>
        <w:spacing w:before="0" w:after="0"/>
        <w:rPr/>
      </w:pPr>
      <w:r>
        <w:rPr/>
        <w:t>Investment &amp; Financial Highlights</w:t>
      </w:r>
    </w:p>
    <w:tbl>
      <w:tblPr>
        <w:tblW w:w="8184" w:type="dxa"/>
        <w:jc w:val="center"/>
        <w:tblInd w:w="0" w:type="dxa"/>
        <w:tblLayout w:type="fixed"/>
        <w:tblCellMar>
          <w:top w:w="80" w:type="dxa"/>
          <w:start w:w="100" w:type="dxa"/>
          <w:bottom w:w="80" w:type="dxa"/>
          <w:end w:w="100" w:type="dxa"/>
        </w:tblCellMar>
        <w:tblLook w:val="04a0" w:firstRow="1" w:noVBand="1" w:lastRow="0" w:firstColumn="1" w:lastColumn="0" w:noHBand="0"/>
      </w:tblPr>
      <w:tblGrid>
        <w:gridCol w:w="2784"/>
        <w:gridCol w:w="5400"/>
      </w:tblGrid>
      <w:tr>
        <w:trPr/>
        <w:tc>
          <w:tcPr>
            <w:tcW w:w="278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Phase 1 capital requirement</w:t>
            </w:r>
          </w:p>
        </w:tc>
        <w:tc>
          <w:tcPr>
            <w:tcW w:w="5400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/>
              <w:t>USD 15 million</w:t>
            </w:r>
          </w:p>
        </w:tc>
      </w:tr>
      <w:tr>
        <w:trPr/>
        <w:tc>
          <w:tcPr>
            <w:tcW w:w="278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Equity available</w:t>
            </w:r>
          </w:p>
        </w:tc>
        <w:tc>
          <w:tcPr>
            <w:tcW w:w="5400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/>
              <w:t>20–30% stake</w:t>
            </w:r>
          </w:p>
        </w:tc>
      </w:tr>
      <w:tr>
        <w:trPr/>
        <w:tc>
          <w:tcPr>
            <w:tcW w:w="278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Target selling price</w:t>
            </w:r>
          </w:p>
        </w:tc>
        <w:tc>
          <w:tcPr>
            <w:tcW w:w="5400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/>
              <w:t>USD 3,500–4,100 / ton for premium-spec, ESG-level product</w:t>
            </w:r>
          </w:p>
        </w:tc>
      </w:tr>
      <w:tr>
        <w:trPr/>
        <w:tc>
          <w:tcPr>
            <w:tcW w:w="278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Target gross margin</w:t>
            </w:r>
          </w:p>
        </w:tc>
        <w:tc>
          <w:tcPr>
            <w:tcW w:w="5400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/>
              <w:t>35%</w:t>
            </w:r>
          </w:p>
        </w:tc>
      </w:tr>
      <w:tr>
        <w:trPr/>
        <w:tc>
          <w:tcPr>
            <w:tcW w:w="278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Target equity IRR</w:t>
            </w:r>
          </w:p>
        </w:tc>
        <w:tc>
          <w:tcPr>
            <w:tcW w:w="5400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/>
              <w:t>30% minimum</w:t>
            </w:r>
          </w:p>
        </w:tc>
      </w:tr>
      <w:tr>
        <w:trPr/>
        <w:tc>
          <w:tcPr>
            <w:tcW w:w="2784" w:type="dxa"/>
            <w:tcBorders/>
            <w:shd w:fill="EAF0F6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>
                <w:b/>
              </w:rPr>
              <w:t>Dividend / payback</w:t>
            </w:r>
          </w:p>
        </w:tc>
        <w:tc>
          <w:tcPr>
            <w:tcW w:w="5400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start"/>
              <w:rPr/>
            </w:pPr>
            <w:r>
              <w:rPr/>
              <w:t>Dividend from Year 3 after full commercial operation; target payback 3.5 years</w:t>
            </w:r>
          </w:p>
        </w:tc>
      </w:tr>
    </w:tbl>
    <w:p>
      <w:pPr>
        <w:pStyle w:val="Heading1"/>
        <w:rPr/>
      </w:pPr>
      <w:r>
        <w:rPr/>
        <w:t>Production Ramp-Up</w:t>
      </w:r>
    </w:p>
    <w:p>
      <w:pPr>
        <w:pStyle w:val="Normal"/>
        <w:rPr/>
      </w:pPr>
      <w:r>
        <w:rPr>
          <w:b/>
        </w:rPr>
        <w:t xml:space="preserve">Year 1: </w:t>
      </w:r>
      <w:r>
        <w:rPr/>
        <w:t xml:space="preserve">6,000 tons   |   </w:t>
      </w:r>
      <w:r>
        <w:rPr>
          <w:b/>
        </w:rPr>
        <w:t xml:space="preserve">Year 2: </w:t>
      </w:r>
      <w:r>
        <w:rPr/>
        <w:t xml:space="preserve">8,500 tons   |   </w:t>
      </w:r>
      <w:r>
        <w:rPr>
          <w:b/>
        </w:rPr>
        <w:t xml:space="preserve">Year 3 onward: </w:t>
      </w:r>
      <w:r>
        <w:rPr/>
        <w:t>10,000 tons/year</w:t>
      </w:r>
    </w:p>
    <w:p>
      <w:pPr>
        <w:pStyle w:val="Heading1"/>
        <w:rPr/>
      </w:pPr>
      <w:r>
        <w:rPr/>
        <w:t>Use of Funds</w:t>
      </w:r>
    </w:p>
    <w:p>
      <w:pPr>
        <w:pStyle w:val="Normal"/>
        <w:rPr/>
      </w:pPr>
      <w:r>
        <w:rPr/>
        <w:t>Land &amp; infrastructure 15%  |  Factory construction 25%  |  Machinery &amp; technology 40%  |  Working capital 10%  |  Certifications &amp; legal 5%  |  ESG &amp; environmental systems 5%</w:t>
      </w:r>
    </w:p>
    <w:p>
      <w:pPr>
        <w:pStyle w:val="Heading1"/>
        <w:rPr/>
      </w:pPr>
      <w:r>
        <w:rPr/>
        <w:t>Strategic Investor Proposition</w:t>
      </w:r>
    </w:p>
    <w:p>
      <w:pPr>
        <w:pStyle w:val="Normal"/>
        <w:rPr/>
      </w:pPr>
      <w:r>
        <w:rPr/>
        <w:t xml:space="preserve">• </w:t>
      </w:r>
      <w:r>
        <w:rPr/>
        <w:t>Priority distribution rights for international markets.</w:t>
      </w:r>
    </w:p>
    <w:p>
      <w:pPr>
        <w:pStyle w:val="Normal"/>
        <w:rPr/>
      </w:pPr>
      <w:r>
        <w:rPr/>
        <w:t xml:space="preserve">• </w:t>
      </w:r>
      <w:r>
        <w:rPr/>
        <w:t>Long-term supply contract at preferential pricing.</w:t>
      </w:r>
    </w:p>
    <w:p>
      <w:pPr>
        <w:pStyle w:val="Normal"/>
        <w:rPr/>
      </w:pPr>
      <w:r>
        <w:rPr/>
        <w:t xml:space="preserve">• </w:t>
      </w:r>
      <w:r>
        <w:rPr/>
        <w:t>Option to participate in Phase 2 expansion, targeted up to 30,000 tons/year.</w:t>
      </w:r>
    </w:p>
    <w:p>
      <w:pPr>
        <w:pStyle w:val="Normal"/>
        <w:rPr/>
      </w:pPr>
      <w:r>
        <w:rPr/>
        <w:t xml:space="preserve">• </w:t>
      </w:r>
      <w:r>
        <w:rPr/>
        <w:t>Exposure to an export-oriented manufacturing platform using renewable coconut-shell waste as feedstock.</w:t>
      </w:r>
    </w:p>
    <w:p>
      <w:pPr>
        <w:pStyle w:val="Heading1"/>
        <w:rPr/>
      </w:pPr>
      <w:r>
        <w:rPr/>
        <w:t>ESG &amp; Execution Roadmap</w:t>
      </w:r>
    </w:p>
    <w:p>
      <w:pPr>
        <w:pStyle w:val="Normal"/>
        <w:rPr/>
      </w:pPr>
      <w:r>
        <w:rPr>
          <w:b/>
        </w:rPr>
        <w:t xml:space="preserve">2026 – Mid-2027: </w:t>
      </w:r>
      <w:r>
        <w:rPr/>
        <w:t>land, licenses, engineering, procurement, construction, equipment installation, ESG framework and team build-out.</w:t>
        <w:br/>
      </w:r>
      <w:r>
        <w:rPr>
          <w:b/>
        </w:rPr>
        <w:t xml:space="preserve">Q3 2027 – Q4 2028: </w:t>
      </w:r>
      <w:r>
        <w:rPr/>
        <w:t>trial production, commercial-grade production, ramp-up to 10,000 tons/year, long-term distribution contracts and Phase 2 decision.</w:t>
      </w:r>
    </w:p>
    <w:p>
      <w:pPr>
        <w:pStyle w:val="Normal"/>
        <w:rPr/>
      </w:pPr>
      <w:r>
        <w:rPr>
          <w:b/>
        </w:rPr>
        <w:t xml:space="preserve">ESG focus: </w:t>
      </w:r>
      <w:r>
        <w:rPr/>
        <w:t>renewable coconut-shell waste utilization, emission and wastewater controls, carbon-footprint tracking, 180–220 local jobs, safety standards, transparent reporting and annual ESG audits.</w:t>
      </w:r>
    </w:p>
    <w:p>
      <w:pPr>
        <w:pStyle w:val="Heading1"/>
        <w:rPr/>
      </w:pPr>
      <w:r>
        <w:rPr/>
        <w:t>Key Risks &amp; Mitigation</w:t>
      </w:r>
    </w:p>
    <w:p>
      <w:pPr>
        <w:pStyle w:val="Normal"/>
        <w:rPr/>
      </w:pPr>
      <w:r>
        <w:rPr/>
        <w:t>Feedstock volatility → long-term cooperative sourcing and reserve stock  |  Technology risk → proven providers and pilot testing  |  Export compliance → certification plan and third-party audits  |  Market-price volatility → diversified grades/regions and long-term contracts  |  Construction delay → professional EPC management and schedule buffers.</w:t>
      </w:r>
    </w:p>
    <w:p>
      <w:pPr>
        <w:pStyle w:val="Normal"/>
        <w:spacing w:before="200" w:after="200"/>
        <w:rPr/>
      </w:pPr>
      <w:r>
        <w:rPr>
          <w:i/>
          <w:color w:val="646464"/>
          <w:sz w:val="16"/>
        </w:rPr>
        <w:t>* Important source-note: the Executive Summary states a 15,000-ton/year Phase 1 plant, while the detailed Project Scope, production ramp-up and 2028 roadmap state 10,000 tons/year. This teaser uses 10,000 tons/year as the working Phase 1 capacity and should be updated once the sponsor confirms the final design basis.</w:t>
      </w:r>
    </w:p>
    <w:p>
      <w:pPr>
        <w:pStyle w:val="Normal"/>
        <w:spacing w:before="0" w:after="200"/>
        <w:jc w:val="center"/>
        <w:rPr/>
      </w:pPr>
      <w:r>
        <w:rPr>
          <w:b/>
          <w:color w:val="5A5A5A"/>
          <w:sz w:val="16"/>
        </w:rPr>
        <w:t>CONFIDENTIAL • FOR DISCUSSION PURPOSES ONLY</w:t>
      </w:r>
    </w:p>
    <w:sectPr>
      <w:type w:val="nextPage"/>
      <w:pgSz w:w="12240" w:h="15840"/>
      <w:pgMar w:left="936" w:right="936" w:gutter="0" w:header="0" w:top="792" w:footer="0" w:bottom="79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start"/>
    </w:pPr>
    <w:rPr>
      <w:rFonts w:ascii="Aptos" w:hAnsi="Aptos" w:eastAsia="ＭＳ 明朝" w:cs="" w:cstheme="minorBidi" w:eastAsiaTheme="minorEastAsia"/>
      <w:color w:val="auto"/>
      <w:kern w:val="0"/>
      <w:sz w:val="19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b/>
      <w:color w:themeColor="text2" w:themeShade="bf" w:val="17365D"/>
      <w:spacing w:val="5"/>
      <w:kern w:val="2"/>
      <w:sz w:val="5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LibreOffice/26.2.6.3$Windows_X86_64 LibreOffice_project/8221e31b3ac356a1623c672912a3d2b492f7e3d1</Application>
  <AppVersion>15.0000</AppVersion>
  <Pages>2</Pages>
  <Words>575</Words>
  <Characters>3616</Characters>
  <CharactersWithSpaces>4161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2026-09-29T11:02:55Z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